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FC" w:rsidRPr="008C2843" w:rsidRDefault="00465DFC" w:rsidP="00B15E35">
      <w:pPr>
        <w:pStyle w:val="Loendilik"/>
        <w:ind w:left="0"/>
        <w:jc w:val="both"/>
        <w:rPr>
          <w:lang w:val="et-EE"/>
        </w:rPr>
      </w:pPr>
    </w:p>
    <w:p w:rsidR="00465DFC" w:rsidRPr="008C2843" w:rsidRDefault="00B86519" w:rsidP="00B15E35">
      <w:pPr>
        <w:pStyle w:val="Loendilik"/>
        <w:ind w:left="0"/>
        <w:jc w:val="both"/>
        <w:rPr>
          <w:b/>
          <w:color w:val="1F497D" w:themeColor="text2"/>
          <w:lang w:val="et-EE"/>
        </w:rPr>
      </w:pPr>
      <w:r w:rsidRPr="008C2843">
        <w:rPr>
          <w:b/>
          <w:color w:val="1F497D" w:themeColor="text2"/>
          <w:lang w:val="et-EE"/>
        </w:rPr>
        <w:t xml:space="preserve">Kliiniline küsimus nr </w:t>
      </w:r>
      <w:r w:rsidR="00465DFC" w:rsidRPr="008C2843">
        <w:rPr>
          <w:b/>
          <w:color w:val="1F497D" w:themeColor="text2"/>
          <w:lang w:val="et-EE"/>
        </w:rPr>
        <w:t>7b</w:t>
      </w:r>
    </w:p>
    <w:p w:rsidR="00465DFC" w:rsidRPr="008C2843" w:rsidRDefault="00465DFC" w:rsidP="00B15E35">
      <w:pPr>
        <w:pStyle w:val="Loendilik"/>
        <w:ind w:left="0"/>
        <w:jc w:val="both"/>
        <w:rPr>
          <w:color w:val="1F497D" w:themeColor="text2"/>
          <w:lang w:val="et-EE"/>
        </w:rPr>
      </w:pPr>
    </w:p>
    <w:p w:rsidR="00B15E35" w:rsidRPr="008C2843" w:rsidRDefault="00B15E35" w:rsidP="00B15E35">
      <w:pPr>
        <w:pStyle w:val="Loendilik"/>
        <w:ind w:left="0"/>
        <w:jc w:val="both"/>
        <w:rPr>
          <w:color w:val="1F497D" w:themeColor="text2"/>
          <w:lang w:val="et-EE"/>
        </w:rPr>
      </w:pPr>
      <w:r w:rsidRPr="008C2843">
        <w:rPr>
          <w:color w:val="1F497D" w:themeColor="text2"/>
          <w:lang w:val="et-EE"/>
        </w:rPr>
        <w:t>Kas kõigil lamatise tekke risk</w:t>
      </w:r>
      <w:r w:rsidR="00EE4F21" w:rsidRPr="008C2843">
        <w:rPr>
          <w:color w:val="1F497D" w:themeColor="text2"/>
          <w:lang w:val="et-EE"/>
        </w:rPr>
        <w:t>iga patsientidel kasutada rõngast</w:t>
      </w:r>
      <w:r w:rsidR="00465DFC" w:rsidRPr="008C2843">
        <w:rPr>
          <w:color w:val="1F497D" w:themeColor="text2"/>
          <w:lang w:val="et-EE"/>
        </w:rPr>
        <w:t xml:space="preserve"> vs nende kasutamata jätmine;</w:t>
      </w:r>
    </w:p>
    <w:p w:rsidR="00B15E35" w:rsidRPr="008C2843" w:rsidRDefault="00B15E35" w:rsidP="00B15E35">
      <w:pPr>
        <w:spacing w:line="276" w:lineRule="auto"/>
        <w:rPr>
          <w:i/>
          <w:color w:val="1F497D" w:themeColor="text2"/>
        </w:rPr>
      </w:pPr>
    </w:p>
    <w:p w:rsidR="00B15E35" w:rsidRPr="008C2843" w:rsidRDefault="00B15E35" w:rsidP="00B15E35">
      <w:pPr>
        <w:jc w:val="both"/>
        <w:rPr>
          <w:color w:val="1F497D" w:themeColor="text2"/>
          <w:u w:val="single"/>
        </w:rPr>
      </w:pPr>
    </w:p>
    <w:p w:rsidR="00EB1F61" w:rsidRPr="008C2843" w:rsidRDefault="00B15E35" w:rsidP="00B15E35">
      <w:pPr>
        <w:jc w:val="both"/>
        <w:rPr>
          <w:color w:val="1F497D" w:themeColor="text2"/>
          <w:u w:val="single"/>
        </w:rPr>
      </w:pPr>
      <w:r w:rsidRPr="008C2843">
        <w:rPr>
          <w:color w:val="1F497D" w:themeColor="text2"/>
          <w:u w:val="single"/>
        </w:rPr>
        <w:t>Kriitilised tulemusnäitajad:</w:t>
      </w:r>
      <w:r w:rsidR="005A4501" w:rsidRPr="008C2843">
        <w:rPr>
          <w:color w:val="1F497D" w:themeColor="text2"/>
          <w:u w:val="single"/>
        </w:rPr>
        <w:t xml:space="preserve"> </w:t>
      </w:r>
    </w:p>
    <w:p w:rsidR="004B5E63" w:rsidRPr="008C2843" w:rsidRDefault="004B5E63" w:rsidP="00B15E35">
      <w:pPr>
        <w:jc w:val="both"/>
        <w:rPr>
          <w:bCs/>
          <w:color w:val="1F497D" w:themeColor="text2"/>
          <w:lang w:val="fi-FI"/>
        </w:rPr>
      </w:pPr>
    </w:p>
    <w:p w:rsidR="00B15E35" w:rsidRPr="008C2843" w:rsidRDefault="00B15E35" w:rsidP="00B15E35">
      <w:pPr>
        <w:jc w:val="both"/>
        <w:rPr>
          <w:bCs/>
          <w:color w:val="1F497D" w:themeColor="text2"/>
          <w:lang w:val="fi-FI"/>
        </w:rPr>
      </w:pPr>
      <w:proofErr w:type="spellStart"/>
      <w:r w:rsidRPr="008C2843">
        <w:rPr>
          <w:bCs/>
          <w:color w:val="1F497D" w:themeColor="text2"/>
          <w:lang w:val="fi-FI"/>
        </w:rPr>
        <w:t>Lamatise</w:t>
      </w:r>
      <w:proofErr w:type="spellEnd"/>
      <w:r w:rsidRPr="008C2843">
        <w:rPr>
          <w:bCs/>
          <w:color w:val="1F497D" w:themeColor="text2"/>
          <w:lang w:val="fi-FI"/>
        </w:rPr>
        <w:t xml:space="preserve"> </w:t>
      </w:r>
      <w:proofErr w:type="spellStart"/>
      <w:r w:rsidRPr="008C2843">
        <w:rPr>
          <w:bCs/>
          <w:color w:val="1F497D" w:themeColor="text2"/>
          <w:lang w:val="fi-FI"/>
        </w:rPr>
        <w:t>tekkimise</w:t>
      </w:r>
      <w:proofErr w:type="spellEnd"/>
      <w:r w:rsidRPr="008C2843">
        <w:rPr>
          <w:bCs/>
          <w:color w:val="1F497D" w:themeColor="text2"/>
          <w:lang w:val="fi-FI"/>
        </w:rPr>
        <w:t xml:space="preserve"> </w:t>
      </w:r>
      <w:proofErr w:type="spellStart"/>
      <w:r w:rsidRPr="008C2843">
        <w:rPr>
          <w:bCs/>
          <w:color w:val="1F497D" w:themeColor="text2"/>
          <w:lang w:val="fi-FI"/>
        </w:rPr>
        <w:t>kiirus</w:t>
      </w:r>
      <w:proofErr w:type="spellEnd"/>
      <w:r w:rsidRPr="008C2843">
        <w:rPr>
          <w:bCs/>
          <w:color w:val="1F497D" w:themeColor="text2"/>
          <w:lang w:val="fi-FI"/>
        </w:rPr>
        <w:t xml:space="preserve"> (</w:t>
      </w:r>
      <w:proofErr w:type="spellStart"/>
      <w:r w:rsidRPr="008C2843">
        <w:rPr>
          <w:bCs/>
          <w:color w:val="1F497D" w:themeColor="text2"/>
          <w:lang w:val="fi-FI"/>
        </w:rPr>
        <w:t>alates</w:t>
      </w:r>
      <w:proofErr w:type="spellEnd"/>
      <w:r w:rsidRPr="008C2843">
        <w:rPr>
          <w:bCs/>
          <w:color w:val="1F497D" w:themeColor="text2"/>
          <w:lang w:val="fi-FI"/>
        </w:rPr>
        <w:t xml:space="preserve"> </w:t>
      </w:r>
      <w:proofErr w:type="spellStart"/>
      <w:r w:rsidRPr="008C2843">
        <w:rPr>
          <w:bCs/>
          <w:color w:val="1F497D" w:themeColor="text2"/>
          <w:lang w:val="fi-FI"/>
        </w:rPr>
        <w:t>liikumispiirangu</w:t>
      </w:r>
      <w:proofErr w:type="spellEnd"/>
      <w:r w:rsidRPr="008C2843">
        <w:rPr>
          <w:bCs/>
          <w:color w:val="1F497D" w:themeColor="text2"/>
          <w:lang w:val="fi-FI"/>
        </w:rPr>
        <w:t xml:space="preserve"> </w:t>
      </w:r>
      <w:proofErr w:type="spellStart"/>
      <w:r w:rsidRPr="008C2843">
        <w:rPr>
          <w:bCs/>
          <w:color w:val="1F497D" w:themeColor="text2"/>
          <w:lang w:val="fi-FI"/>
        </w:rPr>
        <w:t>tekkimisest</w:t>
      </w:r>
      <w:proofErr w:type="spellEnd"/>
      <w:r w:rsidRPr="008C2843">
        <w:rPr>
          <w:bCs/>
          <w:color w:val="1F497D" w:themeColor="text2"/>
          <w:lang w:val="fi-FI"/>
        </w:rPr>
        <w:t>)</w:t>
      </w:r>
    </w:p>
    <w:p w:rsidR="005A4501" w:rsidRPr="008C2843" w:rsidRDefault="005A4501" w:rsidP="00B15E35">
      <w:pPr>
        <w:jc w:val="both"/>
        <w:rPr>
          <w:b/>
          <w:bCs/>
          <w:color w:val="1F497D" w:themeColor="text2"/>
        </w:rPr>
      </w:pPr>
    </w:p>
    <w:p w:rsidR="00EB1F61" w:rsidRPr="008C2843" w:rsidRDefault="00EB1F61" w:rsidP="00B15E35">
      <w:pPr>
        <w:jc w:val="both"/>
        <w:rPr>
          <w:b/>
          <w:bCs/>
          <w:color w:val="1F497D" w:themeColor="text2"/>
        </w:rPr>
      </w:pPr>
      <w:r w:rsidRPr="008C2843">
        <w:rPr>
          <w:b/>
          <w:bCs/>
          <w:color w:val="1F497D" w:themeColor="text2"/>
        </w:rPr>
        <w:t>Kokkuvõte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B1F61" w:rsidRPr="008C2843" w:rsidTr="00EB1F61">
        <w:tc>
          <w:tcPr>
            <w:tcW w:w="9212" w:type="dxa"/>
          </w:tcPr>
          <w:p w:rsidR="00CE2C1C" w:rsidRPr="008C2843" w:rsidRDefault="00EB1F61" w:rsidP="00CE2C1C">
            <w:pPr>
              <w:jc w:val="both"/>
              <w:rPr>
                <w:bCs/>
                <w:color w:val="1F497D" w:themeColor="text2"/>
              </w:rPr>
            </w:pPr>
            <w:r w:rsidRPr="008C2843">
              <w:rPr>
                <w:bCs/>
                <w:color w:val="1F497D" w:themeColor="text2"/>
              </w:rPr>
              <w:t>Süstemaatilistes ülevaadetes võrreldakse tavaliselt erinevaid toetusvahendeid (</w:t>
            </w:r>
            <w:proofErr w:type="spellStart"/>
            <w:r w:rsidRPr="008C2843">
              <w:rPr>
                <w:bCs/>
                <w:color w:val="1F497D" w:themeColor="text2"/>
              </w:rPr>
              <w:t>support</w:t>
            </w:r>
            <w:proofErr w:type="spellEnd"/>
            <w:r w:rsidRPr="008C2843">
              <w:rPr>
                <w:bCs/>
                <w:color w:val="1F497D" w:themeColor="text2"/>
              </w:rPr>
              <w:t xml:space="preserve"> </w:t>
            </w:r>
            <w:proofErr w:type="spellStart"/>
            <w:r w:rsidRPr="008C2843">
              <w:rPr>
                <w:bCs/>
                <w:color w:val="1F497D" w:themeColor="text2"/>
              </w:rPr>
              <w:t>surfaces</w:t>
            </w:r>
            <w:proofErr w:type="spellEnd"/>
            <w:r w:rsidRPr="008C2843">
              <w:rPr>
                <w:bCs/>
                <w:color w:val="1F497D" w:themeColor="text2"/>
              </w:rPr>
              <w:t xml:space="preserve">) lamatiste ennetamises. Toetusvahendite all mõistetakse madratsikatteid, madratseid, geelpatju, ratastoolipatju. </w:t>
            </w:r>
            <w:r w:rsidR="00CE2C1C" w:rsidRPr="008C2843">
              <w:rPr>
                <w:bCs/>
                <w:color w:val="1F497D" w:themeColor="text2"/>
              </w:rPr>
              <w:t>S</w:t>
            </w:r>
            <w:r w:rsidRPr="008C2843">
              <w:rPr>
                <w:bCs/>
                <w:color w:val="1F497D" w:themeColor="text2"/>
              </w:rPr>
              <w:t>üst</w:t>
            </w:r>
            <w:r w:rsidR="00CE2C1C" w:rsidRPr="008C2843">
              <w:rPr>
                <w:bCs/>
                <w:color w:val="1F497D" w:themeColor="text2"/>
              </w:rPr>
              <w:t xml:space="preserve">emaatiliste ülevaadete tulemusena saab kinnitada, et alternatiivsed madratsid ja muutuva rõhuga madratsikatted on efektiivsemad kui standardmadrats, kuid erinevate alternatiivsete vahendite omavahelisel võrdlemisel ei saa ühtegi eelistada. </w:t>
            </w:r>
          </w:p>
          <w:p w:rsidR="00163D8D" w:rsidRDefault="00CE2C1C" w:rsidP="00CE2C1C">
            <w:pPr>
              <w:jc w:val="both"/>
              <w:rPr>
                <w:bCs/>
                <w:color w:val="1F497D" w:themeColor="text2"/>
              </w:rPr>
            </w:pPr>
            <w:r w:rsidRPr="008C2843">
              <w:rPr>
                <w:bCs/>
                <w:color w:val="1F497D" w:themeColor="text2"/>
              </w:rPr>
              <w:t xml:space="preserve">Eraldi on uuritud ratastooli patsientide istepatju. </w:t>
            </w:r>
          </w:p>
          <w:p w:rsidR="00085301" w:rsidRPr="00085301" w:rsidRDefault="00085301" w:rsidP="00CE2C1C">
            <w:pPr>
              <w:jc w:val="both"/>
              <w:rPr>
                <w:b/>
                <w:bCs/>
                <w:color w:val="1F497D" w:themeColor="text2"/>
              </w:rPr>
            </w:pPr>
            <w:bookmarkStart w:id="0" w:name="_GoBack"/>
            <w:r w:rsidRPr="00085301">
              <w:rPr>
                <w:b/>
                <w:bCs/>
                <w:color w:val="1F497D" w:themeColor="text2"/>
              </w:rPr>
              <w:t xml:space="preserve">Senised uuringute tulemused on ebapiisavad, et määratleda erinevate ratastoolipatjade, rõhumuutuseta vahendite või toolikatete efektiivsust lamatiste ennetuses. </w:t>
            </w:r>
          </w:p>
          <w:bookmarkEnd w:id="0"/>
          <w:p w:rsidR="00085301" w:rsidRPr="008C2843" w:rsidRDefault="00085301" w:rsidP="00085301">
            <w:pPr>
              <w:jc w:val="both"/>
              <w:rPr>
                <w:bCs/>
                <w:color w:val="1F497D" w:themeColor="text2"/>
              </w:rPr>
            </w:pPr>
          </w:p>
        </w:tc>
      </w:tr>
    </w:tbl>
    <w:p w:rsidR="00EB1F61" w:rsidRPr="008C2843" w:rsidRDefault="00EB1F61" w:rsidP="00B15E35">
      <w:pPr>
        <w:jc w:val="both"/>
        <w:rPr>
          <w:b/>
          <w:bCs/>
          <w:color w:val="1F497D" w:themeColor="text2"/>
        </w:rPr>
      </w:pPr>
    </w:p>
    <w:p w:rsidR="006D3B8E" w:rsidRPr="008C2843" w:rsidRDefault="006D3B8E" w:rsidP="006D3B8E">
      <w:pPr>
        <w:shd w:val="clear" w:color="auto" w:fill="FFFFFF"/>
        <w:spacing w:before="100" w:beforeAutospacing="1" w:after="100" w:afterAutospacing="1"/>
        <w:ind w:right="240"/>
        <w:rPr>
          <w:b/>
          <w:color w:val="1F497D" w:themeColor="text2"/>
          <w:lang w:val="en-US"/>
        </w:rPr>
      </w:pPr>
      <w:proofErr w:type="spellStart"/>
      <w:r w:rsidRPr="008C2843">
        <w:rPr>
          <w:b/>
          <w:color w:val="1F497D" w:themeColor="text2"/>
          <w:lang w:val="en-US"/>
        </w:rPr>
        <w:t>Süstemaatilised</w:t>
      </w:r>
      <w:proofErr w:type="spellEnd"/>
      <w:r w:rsidRPr="008C2843">
        <w:rPr>
          <w:b/>
          <w:color w:val="1F497D" w:themeColor="text2"/>
          <w:lang w:val="en-US"/>
        </w:rPr>
        <w:t xml:space="preserve"> </w:t>
      </w:r>
      <w:proofErr w:type="spellStart"/>
      <w:r w:rsidRPr="008C2843">
        <w:rPr>
          <w:b/>
          <w:color w:val="1F497D" w:themeColor="text2"/>
          <w:lang w:val="en-US"/>
        </w:rPr>
        <w:t>ülevaated</w:t>
      </w:r>
      <w:proofErr w:type="spellEnd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D3B8E" w:rsidRPr="008C2843" w:rsidTr="006D3B8E">
        <w:tc>
          <w:tcPr>
            <w:tcW w:w="9212" w:type="dxa"/>
          </w:tcPr>
          <w:p w:rsidR="006D3B8E" w:rsidRPr="008C2843" w:rsidRDefault="006D3B8E" w:rsidP="004B5E6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1F497D" w:themeColor="text2"/>
                <w:lang w:eastAsia="en-US"/>
              </w:rPr>
            </w:pPr>
            <w:proofErr w:type="spellStart"/>
            <w:r w:rsidRPr="008C2843">
              <w:rPr>
                <w:rFonts w:eastAsiaTheme="minorHAnsi"/>
                <w:color w:val="1F497D" w:themeColor="text2"/>
                <w:lang w:eastAsia="en-US"/>
              </w:rPr>
              <w:t>Chou</w:t>
            </w:r>
            <w:proofErr w:type="spellEnd"/>
            <w:r w:rsidRPr="008C2843">
              <w:rPr>
                <w:rFonts w:eastAsiaTheme="minorHAnsi"/>
                <w:color w:val="1F497D" w:themeColor="text2"/>
                <w:lang w:eastAsia="en-US"/>
              </w:rPr>
              <w:t xml:space="preserve">, 2013 süstemaatilises ülevaates oli neli rahuldava kvaliteediga uuringut (n= 32 - 248), mis olid läbi viidud hooldusravil viibivatel eakamatel patsientidel. Uuringutes võrreldi alternatiivseid ratastooli patju standardpadjaga ning </w:t>
            </w:r>
            <w:r w:rsidR="00163D8D" w:rsidRPr="008C2843">
              <w:rPr>
                <w:rFonts w:eastAsiaTheme="minorHAnsi"/>
                <w:color w:val="1F497D" w:themeColor="text2"/>
                <w:lang w:eastAsia="en-US"/>
              </w:rPr>
              <w:t xml:space="preserve">uuringute tulemused on varieeruvad. Uuringute kvaliteet ei ole kõrge ning erinevates uuringutes on kasutatud erinevaid patju. Seega ei saa teha üldistavaid järeldusi. Tõenduse kvaliteet on madal. </w:t>
            </w:r>
          </w:p>
          <w:p w:rsidR="004B5E63" w:rsidRPr="008C2843" w:rsidRDefault="004B5E63" w:rsidP="004B5E6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1F497D" w:themeColor="text2"/>
                <w:lang w:eastAsia="en-US"/>
              </w:rPr>
            </w:pPr>
            <w:r w:rsidRPr="008C2843">
              <w:rPr>
                <w:rFonts w:eastAsiaTheme="minorHAnsi"/>
                <w:color w:val="1F497D" w:themeColor="text2"/>
                <w:lang w:eastAsia="en-US"/>
              </w:rPr>
              <w:t>Ühes kliinilises uuringus (n=248) ei leitud erinevust lamatiste tekkimise sageduses kui võrreldi individuaalselt kohandatud vahtpatju tahvel patjadega  (68 vs. 68 %; RR 1,0;  95% CI 0,84  - 1,2).</w:t>
            </w:r>
          </w:p>
          <w:p w:rsidR="004B5E63" w:rsidRPr="008C2843" w:rsidRDefault="004B5E63" w:rsidP="004B5E6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1F497D" w:themeColor="text2"/>
                <w:lang w:eastAsia="en-US"/>
              </w:rPr>
            </w:pPr>
            <w:r w:rsidRPr="008C2843">
              <w:rPr>
                <w:rFonts w:eastAsiaTheme="minorHAnsi"/>
                <w:color w:val="1F497D" w:themeColor="text2"/>
                <w:lang w:eastAsia="en-US"/>
              </w:rPr>
              <w:t xml:space="preserve">Väiksemahulises pilootuuringus (n=32) ei leitud samuti erinevusi lamatiste esinemissageduses kui kasutati rõhku vähendavaid ratastoolipatju geneeriliste vahtpatjadega </w:t>
            </w:r>
          </w:p>
          <w:p w:rsidR="004B5E63" w:rsidRPr="008C2843" w:rsidRDefault="004B5E63" w:rsidP="004B5E6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1F497D" w:themeColor="text2"/>
                <w:lang w:eastAsia="en-US"/>
              </w:rPr>
            </w:pPr>
            <w:r w:rsidRPr="008C2843">
              <w:rPr>
                <w:rFonts w:eastAsiaTheme="minorHAnsi"/>
                <w:color w:val="1F497D" w:themeColor="text2"/>
                <w:lang w:eastAsia="en-US"/>
              </w:rPr>
              <w:t xml:space="preserve">(40 vs. 59 %; RR 0,68; 95% CI 0,3  - 1,4). </w:t>
            </w:r>
          </w:p>
          <w:p w:rsidR="00163D8D" w:rsidRPr="008C2843" w:rsidRDefault="004B5E63" w:rsidP="00163D8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1F497D" w:themeColor="text2"/>
                <w:lang w:eastAsia="en-US"/>
              </w:rPr>
            </w:pPr>
            <w:r w:rsidRPr="008C2843">
              <w:rPr>
                <w:rFonts w:eastAsiaTheme="minorHAnsi"/>
                <w:color w:val="1F497D" w:themeColor="text2"/>
                <w:lang w:eastAsia="en-US"/>
              </w:rPr>
              <w:t xml:space="preserve">Kolmandas kliinilises uuringus  (n=141), kus kasutati </w:t>
            </w:r>
            <w:proofErr w:type="spellStart"/>
            <w:r w:rsidRPr="008C2843">
              <w:rPr>
                <w:rFonts w:eastAsiaTheme="minorHAnsi"/>
                <w:color w:val="1F497D" w:themeColor="text2"/>
                <w:lang w:eastAsia="en-US"/>
              </w:rPr>
              <w:t>Jay</w:t>
            </w:r>
            <w:proofErr w:type="spellEnd"/>
            <w:r w:rsidRPr="008C2843">
              <w:rPr>
                <w:rFonts w:eastAsiaTheme="minorHAnsi"/>
                <w:color w:val="1F497D" w:themeColor="text2"/>
                <w:lang w:eastAsia="en-US"/>
              </w:rPr>
              <w:t xml:space="preserve"> patju (ühekõrgune </w:t>
            </w:r>
            <w:proofErr w:type="spellStart"/>
            <w:r w:rsidRPr="008C2843">
              <w:rPr>
                <w:rFonts w:eastAsiaTheme="minorHAnsi"/>
                <w:color w:val="1F497D" w:themeColor="text2"/>
                <w:lang w:eastAsia="en-US"/>
              </w:rPr>
              <w:t>uretaanvaht</w:t>
            </w:r>
            <w:proofErr w:type="spellEnd"/>
            <w:r w:rsidRPr="008C2843">
              <w:rPr>
                <w:rFonts w:eastAsiaTheme="minorHAnsi"/>
                <w:color w:val="1F497D" w:themeColor="text2"/>
                <w:lang w:eastAsia="en-US"/>
              </w:rPr>
              <w:t xml:space="preserve"> g</w:t>
            </w:r>
            <w:r w:rsidR="00163D8D" w:rsidRPr="008C2843">
              <w:rPr>
                <w:rFonts w:eastAsiaTheme="minorHAnsi"/>
                <w:color w:val="1F497D" w:themeColor="text2"/>
                <w:lang w:eastAsia="en-US"/>
              </w:rPr>
              <w:t xml:space="preserve">eelkihi kattega) oli väiksem lamatiste tekkerisk võrreldes standard vahtmadratsiga </w:t>
            </w:r>
          </w:p>
          <w:p w:rsidR="00163D8D" w:rsidRPr="008C2843" w:rsidRDefault="004B5E63" w:rsidP="004B5E6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1F497D" w:themeColor="text2"/>
                <w:lang w:eastAsia="en-US"/>
              </w:rPr>
            </w:pPr>
            <w:r w:rsidRPr="008C2843">
              <w:rPr>
                <w:rFonts w:eastAsiaTheme="minorHAnsi"/>
                <w:color w:val="1F497D" w:themeColor="text2"/>
                <w:lang w:eastAsia="en-US"/>
              </w:rPr>
              <w:t>(25 vs. 41</w:t>
            </w:r>
            <w:r w:rsidR="00163D8D" w:rsidRPr="008C2843">
              <w:rPr>
                <w:rFonts w:eastAsiaTheme="minorHAnsi"/>
                <w:color w:val="1F497D" w:themeColor="text2"/>
                <w:lang w:eastAsia="en-US"/>
              </w:rPr>
              <w:t>%</w:t>
            </w:r>
            <w:r w:rsidRPr="008C2843">
              <w:rPr>
                <w:rFonts w:eastAsiaTheme="minorHAnsi"/>
                <w:color w:val="1F497D" w:themeColor="text2"/>
                <w:lang w:eastAsia="en-US"/>
              </w:rPr>
              <w:t>, RR 0</w:t>
            </w:r>
            <w:r w:rsidR="00163D8D" w:rsidRPr="008C2843">
              <w:rPr>
                <w:rFonts w:eastAsiaTheme="minorHAnsi"/>
                <w:color w:val="1F497D" w:themeColor="text2"/>
                <w:lang w:eastAsia="en-US"/>
              </w:rPr>
              <w:t>,</w:t>
            </w:r>
            <w:r w:rsidRPr="008C2843">
              <w:rPr>
                <w:rFonts w:eastAsiaTheme="minorHAnsi"/>
                <w:color w:val="1F497D" w:themeColor="text2"/>
                <w:lang w:eastAsia="en-US"/>
              </w:rPr>
              <w:t>61</w:t>
            </w:r>
            <w:r w:rsidR="00163D8D" w:rsidRPr="008C2843">
              <w:rPr>
                <w:rFonts w:eastAsiaTheme="minorHAnsi"/>
                <w:color w:val="1F497D" w:themeColor="text2"/>
                <w:lang w:eastAsia="en-US"/>
              </w:rPr>
              <w:t>;</w:t>
            </w:r>
            <w:r w:rsidRPr="008C2843">
              <w:rPr>
                <w:rFonts w:eastAsiaTheme="minorHAnsi"/>
                <w:color w:val="1F497D" w:themeColor="text2"/>
                <w:lang w:eastAsia="en-US"/>
              </w:rPr>
              <w:t xml:space="preserve"> 95% CI 0</w:t>
            </w:r>
            <w:r w:rsidR="00163D8D" w:rsidRPr="008C2843">
              <w:rPr>
                <w:rFonts w:eastAsiaTheme="minorHAnsi"/>
                <w:color w:val="1F497D" w:themeColor="text2"/>
                <w:lang w:eastAsia="en-US"/>
              </w:rPr>
              <w:t>,</w:t>
            </w:r>
            <w:r w:rsidRPr="008C2843">
              <w:rPr>
                <w:rFonts w:eastAsiaTheme="minorHAnsi"/>
                <w:color w:val="1F497D" w:themeColor="text2"/>
                <w:lang w:eastAsia="en-US"/>
              </w:rPr>
              <w:t xml:space="preserve">37 </w:t>
            </w:r>
            <w:r w:rsidR="00163D8D" w:rsidRPr="008C2843">
              <w:rPr>
                <w:rFonts w:eastAsiaTheme="minorHAnsi"/>
                <w:color w:val="1F497D" w:themeColor="text2"/>
                <w:lang w:eastAsia="en-US"/>
              </w:rPr>
              <w:t>–</w:t>
            </w:r>
            <w:r w:rsidRPr="008C2843">
              <w:rPr>
                <w:rFonts w:eastAsiaTheme="minorHAnsi"/>
                <w:color w:val="1F497D" w:themeColor="text2"/>
                <w:lang w:eastAsia="en-US"/>
              </w:rPr>
              <w:t xml:space="preserve"> 1</w:t>
            </w:r>
            <w:r w:rsidR="00163D8D" w:rsidRPr="008C2843">
              <w:rPr>
                <w:rFonts w:eastAsiaTheme="minorHAnsi"/>
                <w:color w:val="1F497D" w:themeColor="text2"/>
                <w:lang w:eastAsia="en-US"/>
              </w:rPr>
              <w:t>,</w:t>
            </w:r>
            <w:r w:rsidRPr="008C2843">
              <w:rPr>
                <w:rFonts w:eastAsiaTheme="minorHAnsi"/>
                <w:color w:val="1F497D" w:themeColor="text2"/>
                <w:lang w:eastAsia="en-US"/>
              </w:rPr>
              <w:t>0).</w:t>
            </w:r>
            <w:r w:rsidR="00163D8D" w:rsidRPr="008C2843">
              <w:rPr>
                <w:rFonts w:eastAsiaTheme="minorHAnsi"/>
                <w:color w:val="1F497D" w:themeColor="text2"/>
                <w:lang w:eastAsia="en-US"/>
              </w:rPr>
              <w:t xml:space="preserve"> </w:t>
            </w:r>
          </w:p>
          <w:p w:rsidR="00163D8D" w:rsidRPr="008C2843" w:rsidRDefault="00163D8D" w:rsidP="004B5E6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1F497D" w:themeColor="text2"/>
                <w:lang w:eastAsia="en-US"/>
              </w:rPr>
            </w:pPr>
            <w:r w:rsidRPr="008C2843">
              <w:rPr>
                <w:rFonts w:eastAsiaTheme="minorHAnsi"/>
                <w:color w:val="1F497D" w:themeColor="text2"/>
                <w:lang w:eastAsia="en-US"/>
              </w:rPr>
              <w:t xml:space="preserve">Neljandas kliinilises </w:t>
            </w:r>
            <w:proofErr w:type="spellStart"/>
            <w:r w:rsidRPr="008C2843">
              <w:rPr>
                <w:rFonts w:eastAsiaTheme="minorHAnsi"/>
                <w:color w:val="1F497D" w:themeColor="text2"/>
                <w:lang w:eastAsia="en-US"/>
              </w:rPr>
              <w:t>uuirngus</w:t>
            </w:r>
            <w:proofErr w:type="spellEnd"/>
            <w:r w:rsidRPr="008C2843">
              <w:rPr>
                <w:rFonts w:eastAsiaTheme="minorHAnsi"/>
                <w:color w:val="1F497D" w:themeColor="text2"/>
                <w:lang w:eastAsia="en-US"/>
              </w:rPr>
              <w:t xml:space="preserve"> </w:t>
            </w:r>
            <w:r w:rsidR="004B5E63" w:rsidRPr="008C2843">
              <w:rPr>
                <w:rFonts w:eastAsiaTheme="minorHAnsi"/>
                <w:color w:val="1F497D" w:themeColor="text2"/>
                <w:lang w:eastAsia="en-US"/>
              </w:rPr>
              <w:t xml:space="preserve">(n=232) </w:t>
            </w:r>
            <w:r w:rsidRPr="008C2843">
              <w:rPr>
                <w:rFonts w:eastAsiaTheme="minorHAnsi"/>
                <w:color w:val="1F497D" w:themeColor="text2"/>
                <w:lang w:eastAsia="en-US"/>
              </w:rPr>
              <w:t>leiti, et erinevad nahka kaitsvate ratastoolipatjade kasutamine vähendab istmikuluu haavandite tekkimise riski võrreldes standard vahtmadratsiga (9,9 vs. 6,7 %, RR 0,13; 95% CI 0,02 – 1,</w:t>
            </w:r>
            <w:r w:rsidR="004B5E63" w:rsidRPr="008C2843">
              <w:rPr>
                <w:rFonts w:eastAsiaTheme="minorHAnsi"/>
                <w:color w:val="1F497D" w:themeColor="text2"/>
                <w:lang w:eastAsia="en-US"/>
              </w:rPr>
              <w:t>0).</w:t>
            </w:r>
            <w:r w:rsidRPr="008C2843">
              <w:rPr>
                <w:rFonts w:eastAsiaTheme="minorHAnsi"/>
                <w:color w:val="1F497D" w:themeColor="text2"/>
                <w:lang w:eastAsia="en-US"/>
              </w:rPr>
              <w:t xml:space="preserve"> </w:t>
            </w:r>
          </w:p>
          <w:p w:rsidR="004B5E63" w:rsidRPr="008C2843" w:rsidRDefault="00163D8D" w:rsidP="004B5E6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1F497D" w:themeColor="text2"/>
                <w:lang w:eastAsia="en-US"/>
              </w:rPr>
            </w:pPr>
            <w:r w:rsidRPr="008C2843">
              <w:rPr>
                <w:rFonts w:eastAsiaTheme="minorHAnsi"/>
                <w:color w:val="1F497D" w:themeColor="text2"/>
                <w:lang w:eastAsia="en-US"/>
              </w:rPr>
              <w:t xml:space="preserve">Üheski uuringus ei olnud ära toodud, kui kaua patsiente jälgiti. </w:t>
            </w:r>
          </w:p>
        </w:tc>
      </w:tr>
    </w:tbl>
    <w:p w:rsidR="006D3B8E" w:rsidRPr="008C2843" w:rsidRDefault="006D3B8E" w:rsidP="004D2A3E">
      <w:pPr>
        <w:autoSpaceDE w:val="0"/>
        <w:autoSpaceDN w:val="0"/>
        <w:adjustRightInd w:val="0"/>
        <w:rPr>
          <w:rFonts w:eastAsiaTheme="minorHAnsi"/>
          <w:color w:val="1F497D" w:themeColor="text2"/>
          <w:lang w:eastAsia="en-US"/>
        </w:rPr>
      </w:pPr>
    </w:p>
    <w:p w:rsidR="006D3B8E" w:rsidRPr="008C2843" w:rsidRDefault="006D3B8E" w:rsidP="004D2A3E">
      <w:pPr>
        <w:autoSpaceDE w:val="0"/>
        <w:autoSpaceDN w:val="0"/>
        <w:adjustRightInd w:val="0"/>
        <w:rPr>
          <w:rFonts w:eastAsiaTheme="minorHAnsi"/>
          <w:color w:val="1F497D" w:themeColor="text2"/>
          <w:lang w:eastAsia="en-US"/>
        </w:rPr>
      </w:pPr>
    </w:p>
    <w:p w:rsidR="00C4255C" w:rsidRPr="008C2843" w:rsidRDefault="00C4255C" w:rsidP="00C4255C">
      <w:pPr>
        <w:jc w:val="both"/>
        <w:rPr>
          <w:b/>
          <w:color w:val="000080"/>
        </w:rPr>
      </w:pPr>
      <w:r w:rsidRPr="008C2843">
        <w:rPr>
          <w:b/>
          <w:color w:val="000080"/>
        </w:rPr>
        <w:t>Ravijuhendid</w:t>
      </w:r>
    </w:p>
    <w:p w:rsidR="00C4255C" w:rsidRPr="008C2843" w:rsidRDefault="00C4255C" w:rsidP="00C4255C">
      <w:pPr>
        <w:autoSpaceDE w:val="0"/>
        <w:autoSpaceDN w:val="0"/>
        <w:adjustRightInd w:val="0"/>
        <w:rPr>
          <w:color w:val="000080"/>
        </w:rPr>
      </w:pPr>
    </w:p>
    <w:p w:rsidR="00C4255C" w:rsidRPr="008C2843" w:rsidRDefault="00163D8D" w:rsidP="00C4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right="240"/>
        <w:jc w:val="both"/>
        <w:rPr>
          <w:color w:val="000080"/>
          <w:lang w:val="en-GB" w:eastAsia="en-US"/>
        </w:rPr>
      </w:pPr>
      <w:proofErr w:type="spellStart"/>
      <w:proofErr w:type="gramStart"/>
      <w:r w:rsidRPr="008C2843">
        <w:rPr>
          <w:color w:val="000080"/>
          <w:lang w:val="en-GB" w:eastAsia="en-US"/>
        </w:rPr>
        <w:lastRenderedPageBreak/>
        <w:t>Ravijuhendite</w:t>
      </w:r>
      <w:proofErr w:type="spellEnd"/>
      <w:r w:rsidRPr="008C2843">
        <w:rPr>
          <w:color w:val="000080"/>
          <w:lang w:val="en-GB" w:eastAsia="en-US"/>
        </w:rPr>
        <w:t xml:space="preserve"> </w:t>
      </w:r>
      <w:proofErr w:type="spellStart"/>
      <w:r w:rsidRPr="008C2843">
        <w:rPr>
          <w:color w:val="000080"/>
          <w:lang w:val="en-GB" w:eastAsia="en-US"/>
        </w:rPr>
        <w:t>soovituse</w:t>
      </w:r>
      <w:proofErr w:type="spellEnd"/>
      <w:r w:rsidRPr="008C2843">
        <w:rPr>
          <w:color w:val="000080"/>
          <w:lang w:val="en-GB" w:eastAsia="en-US"/>
        </w:rPr>
        <w:t xml:space="preserve"> </w:t>
      </w:r>
      <w:proofErr w:type="spellStart"/>
      <w:r w:rsidRPr="008C2843">
        <w:rPr>
          <w:color w:val="000080"/>
          <w:lang w:val="en-GB" w:eastAsia="en-US"/>
        </w:rPr>
        <w:t>tuginevad</w:t>
      </w:r>
      <w:proofErr w:type="spellEnd"/>
      <w:r w:rsidRPr="008C2843">
        <w:rPr>
          <w:color w:val="000080"/>
          <w:lang w:val="en-GB" w:eastAsia="en-US"/>
        </w:rPr>
        <w:t xml:space="preserve"> </w:t>
      </w:r>
      <w:proofErr w:type="spellStart"/>
      <w:r w:rsidRPr="008C2843">
        <w:rPr>
          <w:color w:val="000080"/>
          <w:lang w:val="en-GB" w:eastAsia="en-US"/>
        </w:rPr>
        <w:t>peamiselt</w:t>
      </w:r>
      <w:proofErr w:type="spellEnd"/>
      <w:r w:rsidRPr="008C2843">
        <w:rPr>
          <w:color w:val="000080"/>
          <w:lang w:val="en-GB" w:eastAsia="en-US"/>
        </w:rPr>
        <w:t xml:space="preserve"> </w:t>
      </w:r>
      <w:proofErr w:type="spellStart"/>
      <w:r w:rsidRPr="008C2843">
        <w:rPr>
          <w:color w:val="000080"/>
          <w:lang w:val="en-GB" w:eastAsia="en-US"/>
        </w:rPr>
        <w:t>ekspertarvamustele</w:t>
      </w:r>
      <w:proofErr w:type="spellEnd"/>
      <w:r w:rsidRPr="008C2843">
        <w:rPr>
          <w:color w:val="000080"/>
          <w:lang w:val="en-GB" w:eastAsia="en-US"/>
        </w:rPr>
        <w:t>.</w:t>
      </w:r>
      <w:proofErr w:type="gramEnd"/>
      <w:r w:rsidRPr="008C2843">
        <w:rPr>
          <w:color w:val="000080"/>
          <w:lang w:val="en-GB" w:eastAsia="en-US"/>
        </w:rPr>
        <w:t xml:space="preserve"> </w:t>
      </w:r>
      <w:proofErr w:type="spellStart"/>
      <w:proofErr w:type="gramStart"/>
      <w:r w:rsidRPr="008C2843">
        <w:rPr>
          <w:color w:val="000080"/>
          <w:lang w:val="en-GB" w:eastAsia="en-US"/>
        </w:rPr>
        <w:t>Soovitatakse</w:t>
      </w:r>
      <w:proofErr w:type="spellEnd"/>
      <w:r w:rsidRPr="008C2843">
        <w:rPr>
          <w:color w:val="000080"/>
          <w:lang w:val="en-GB" w:eastAsia="en-US"/>
        </w:rPr>
        <w:t xml:space="preserve"> </w:t>
      </w:r>
      <w:proofErr w:type="spellStart"/>
      <w:r w:rsidR="008C2843" w:rsidRPr="008C2843">
        <w:rPr>
          <w:color w:val="000080"/>
          <w:lang w:val="en-GB" w:eastAsia="en-US"/>
        </w:rPr>
        <w:t>surve</w:t>
      </w:r>
      <w:proofErr w:type="spellEnd"/>
      <w:r w:rsidR="008C2843" w:rsidRPr="008C2843">
        <w:rPr>
          <w:color w:val="000080"/>
          <w:lang w:val="en-GB" w:eastAsia="en-US"/>
        </w:rPr>
        <w:t xml:space="preserve"> </w:t>
      </w:r>
      <w:proofErr w:type="spellStart"/>
      <w:r w:rsidR="008C2843" w:rsidRPr="008C2843">
        <w:rPr>
          <w:color w:val="000080"/>
          <w:lang w:val="en-GB" w:eastAsia="en-US"/>
        </w:rPr>
        <w:t>vähendamiseks</w:t>
      </w:r>
      <w:proofErr w:type="spellEnd"/>
      <w:r w:rsidR="008C2843" w:rsidRPr="008C2843">
        <w:rPr>
          <w:color w:val="000080"/>
          <w:lang w:val="en-GB" w:eastAsia="en-US"/>
        </w:rPr>
        <w:t xml:space="preserve"> </w:t>
      </w:r>
      <w:proofErr w:type="spellStart"/>
      <w:r w:rsidR="008C2843" w:rsidRPr="008C2843">
        <w:rPr>
          <w:color w:val="000080"/>
          <w:lang w:val="en-GB" w:eastAsia="en-US"/>
        </w:rPr>
        <w:t>vahetada</w:t>
      </w:r>
      <w:proofErr w:type="spellEnd"/>
      <w:r w:rsidR="008C2843" w:rsidRPr="008C2843">
        <w:rPr>
          <w:color w:val="000080"/>
          <w:lang w:val="en-GB" w:eastAsia="en-US"/>
        </w:rPr>
        <w:t xml:space="preserve"> </w:t>
      </w:r>
      <w:proofErr w:type="spellStart"/>
      <w:r w:rsidR="008C2843" w:rsidRPr="008C2843">
        <w:rPr>
          <w:color w:val="000080"/>
          <w:lang w:val="en-GB" w:eastAsia="en-US"/>
        </w:rPr>
        <w:t>ka</w:t>
      </w:r>
      <w:proofErr w:type="spellEnd"/>
      <w:r w:rsidR="008C2843" w:rsidRPr="008C2843">
        <w:rPr>
          <w:color w:val="000080"/>
          <w:lang w:val="en-GB" w:eastAsia="en-US"/>
        </w:rPr>
        <w:t xml:space="preserve"> </w:t>
      </w:r>
      <w:proofErr w:type="spellStart"/>
      <w:r w:rsidR="008C2843" w:rsidRPr="008C2843">
        <w:rPr>
          <w:color w:val="000080"/>
          <w:lang w:val="en-GB" w:eastAsia="en-US"/>
        </w:rPr>
        <w:t>ratastoolis</w:t>
      </w:r>
      <w:proofErr w:type="spellEnd"/>
      <w:r w:rsidR="008C2843" w:rsidRPr="008C2843">
        <w:rPr>
          <w:color w:val="000080"/>
          <w:lang w:val="en-GB" w:eastAsia="en-US"/>
        </w:rPr>
        <w:t xml:space="preserve"> </w:t>
      </w:r>
      <w:proofErr w:type="spellStart"/>
      <w:r w:rsidR="008C2843" w:rsidRPr="008C2843">
        <w:rPr>
          <w:color w:val="000080"/>
          <w:lang w:val="en-GB" w:eastAsia="en-US"/>
        </w:rPr>
        <w:t>asendit</w:t>
      </w:r>
      <w:proofErr w:type="spellEnd"/>
      <w:r w:rsidR="008C2843" w:rsidRPr="008C2843">
        <w:rPr>
          <w:color w:val="000080"/>
          <w:lang w:val="en-GB" w:eastAsia="en-US"/>
        </w:rPr>
        <w:t xml:space="preserve"> </w:t>
      </w:r>
      <w:proofErr w:type="spellStart"/>
      <w:r w:rsidR="008C2843" w:rsidRPr="008C2843">
        <w:rPr>
          <w:color w:val="000080"/>
          <w:lang w:val="en-GB" w:eastAsia="en-US"/>
        </w:rPr>
        <w:t>ning</w:t>
      </w:r>
      <w:proofErr w:type="spellEnd"/>
      <w:r w:rsidR="008C2843" w:rsidRPr="008C2843">
        <w:rPr>
          <w:color w:val="000080"/>
          <w:lang w:val="en-GB" w:eastAsia="en-US"/>
        </w:rPr>
        <w:t xml:space="preserve"> </w:t>
      </w:r>
      <w:proofErr w:type="spellStart"/>
      <w:r w:rsidR="008C2843" w:rsidRPr="008C2843">
        <w:rPr>
          <w:color w:val="000080"/>
          <w:lang w:val="en-GB" w:eastAsia="en-US"/>
        </w:rPr>
        <w:t>kasutada</w:t>
      </w:r>
      <w:proofErr w:type="spellEnd"/>
      <w:r w:rsidR="008C2843" w:rsidRPr="008C2843">
        <w:rPr>
          <w:color w:val="000080"/>
          <w:lang w:val="en-GB" w:eastAsia="en-US"/>
        </w:rPr>
        <w:t xml:space="preserve"> </w:t>
      </w:r>
      <w:proofErr w:type="spellStart"/>
      <w:r w:rsidR="008C2843" w:rsidRPr="008C2843">
        <w:rPr>
          <w:color w:val="000080"/>
          <w:lang w:val="en-GB" w:eastAsia="en-US"/>
        </w:rPr>
        <w:t>rõhku</w:t>
      </w:r>
      <w:proofErr w:type="spellEnd"/>
      <w:r w:rsidR="008C2843" w:rsidRPr="008C2843">
        <w:rPr>
          <w:color w:val="000080"/>
          <w:lang w:val="en-GB" w:eastAsia="en-US"/>
        </w:rPr>
        <w:t xml:space="preserve"> </w:t>
      </w:r>
      <w:proofErr w:type="spellStart"/>
      <w:r w:rsidR="008C2843" w:rsidRPr="008C2843">
        <w:rPr>
          <w:color w:val="000080"/>
          <w:lang w:val="en-GB" w:eastAsia="en-US"/>
        </w:rPr>
        <w:t>vähendavaid</w:t>
      </w:r>
      <w:proofErr w:type="spellEnd"/>
      <w:r w:rsidR="008C2843" w:rsidRPr="008C2843">
        <w:rPr>
          <w:color w:val="000080"/>
          <w:lang w:val="en-GB" w:eastAsia="en-US"/>
        </w:rPr>
        <w:t xml:space="preserve"> </w:t>
      </w:r>
      <w:proofErr w:type="spellStart"/>
      <w:r w:rsidR="008C2843" w:rsidRPr="008C2843">
        <w:rPr>
          <w:color w:val="000080"/>
          <w:lang w:val="en-GB" w:eastAsia="en-US"/>
        </w:rPr>
        <w:t>ratastoolipatju</w:t>
      </w:r>
      <w:proofErr w:type="spellEnd"/>
      <w:r w:rsidR="008C2843" w:rsidRPr="008C2843">
        <w:rPr>
          <w:color w:val="000080"/>
          <w:lang w:val="en-GB" w:eastAsia="en-US"/>
        </w:rPr>
        <w:t>.</w:t>
      </w:r>
      <w:proofErr w:type="gramEnd"/>
      <w:r w:rsidR="008C2843" w:rsidRPr="008C2843">
        <w:rPr>
          <w:color w:val="000080"/>
          <w:lang w:val="en-GB" w:eastAsia="en-US"/>
        </w:rPr>
        <w:t xml:space="preserve"> </w:t>
      </w:r>
    </w:p>
    <w:p w:rsidR="00C4255C" w:rsidRPr="008C2843" w:rsidRDefault="00C4255C" w:rsidP="00C4255C"/>
    <w:p w:rsidR="00C4255C" w:rsidRPr="008C2843" w:rsidRDefault="00C4255C" w:rsidP="00B15E35">
      <w:pPr>
        <w:autoSpaceDE w:val="0"/>
        <w:autoSpaceDN w:val="0"/>
        <w:adjustRightInd w:val="0"/>
        <w:jc w:val="both"/>
        <w:rPr>
          <w:b/>
          <w:color w:val="000080"/>
          <w:lang w:val="en-US" w:eastAsia="en-US"/>
        </w:rPr>
      </w:pPr>
    </w:p>
    <w:p w:rsidR="00B15E35" w:rsidRPr="008C2843" w:rsidRDefault="00B15E35" w:rsidP="00B15E35">
      <w:pPr>
        <w:autoSpaceDE w:val="0"/>
        <w:autoSpaceDN w:val="0"/>
        <w:adjustRightInd w:val="0"/>
        <w:jc w:val="both"/>
        <w:rPr>
          <w:b/>
          <w:color w:val="000080"/>
          <w:lang w:val="en-US" w:eastAsia="en-US"/>
        </w:rPr>
      </w:pPr>
      <w:proofErr w:type="spellStart"/>
      <w:r w:rsidRPr="008C2843">
        <w:rPr>
          <w:b/>
          <w:color w:val="000080"/>
          <w:lang w:val="en-US" w:eastAsia="en-US"/>
        </w:rPr>
        <w:t>Viited</w:t>
      </w:r>
      <w:proofErr w:type="spellEnd"/>
    </w:p>
    <w:p w:rsidR="00B15E35" w:rsidRPr="008C2843" w:rsidRDefault="00B15E35" w:rsidP="00B15E35">
      <w:pPr>
        <w:autoSpaceDE w:val="0"/>
        <w:autoSpaceDN w:val="0"/>
        <w:adjustRightInd w:val="0"/>
        <w:jc w:val="both"/>
        <w:rPr>
          <w:color w:val="000080"/>
          <w:lang w:val="en-US" w:eastAsia="en-US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6192"/>
        <w:gridCol w:w="3096"/>
      </w:tblGrid>
      <w:tr w:rsidR="00B15E35" w:rsidRPr="008C2843" w:rsidTr="00C4255C">
        <w:trPr>
          <w:trHeight w:val="330"/>
        </w:trPr>
        <w:tc>
          <w:tcPr>
            <w:tcW w:w="6192" w:type="dxa"/>
            <w:tcBorders>
              <w:bottom w:val="single" w:sz="4" w:space="0" w:color="auto"/>
            </w:tcBorders>
            <w:shd w:val="clear" w:color="auto" w:fill="auto"/>
          </w:tcPr>
          <w:p w:rsidR="00B15E35" w:rsidRPr="008C2843" w:rsidRDefault="00B15E35" w:rsidP="00B17C28">
            <w:pPr>
              <w:spacing w:before="75" w:after="225"/>
              <w:rPr>
                <w:b/>
                <w:color w:val="000080"/>
                <w:lang w:val="en-US"/>
              </w:rPr>
            </w:pPr>
            <w:proofErr w:type="spellStart"/>
            <w:r w:rsidRPr="008C2843">
              <w:rPr>
                <w:b/>
                <w:color w:val="000080"/>
                <w:lang w:val="en-US"/>
              </w:rPr>
              <w:t>Kokkuvõte</w:t>
            </w:r>
            <w:proofErr w:type="spellEnd"/>
            <w:r w:rsidRPr="008C2843">
              <w:rPr>
                <w:b/>
                <w:color w:val="000080"/>
                <w:lang w:val="en-US"/>
              </w:rPr>
              <w:t xml:space="preserve"> (abstract </w:t>
            </w:r>
            <w:proofErr w:type="spellStart"/>
            <w:r w:rsidRPr="008C2843">
              <w:rPr>
                <w:b/>
                <w:color w:val="000080"/>
                <w:lang w:val="en-US"/>
              </w:rPr>
              <w:t>või</w:t>
            </w:r>
            <w:proofErr w:type="spellEnd"/>
            <w:r w:rsidRPr="008C2843">
              <w:rPr>
                <w:b/>
                <w:color w:val="000080"/>
                <w:lang w:val="en-US"/>
              </w:rPr>
              <w:t xml:space="preserve"> </w:t>
            </w:r>
            <w:proofErr w:type="spellStart"/>
            <w:r w:rsidRPr="008C2843">
              <w:rPr>
                <w:b/>
                <w:color w:val="000080"/>
                <w:lang w:val="en-US"/>
              </w:rPr>
              <w:t>kokkuvõtlikum</w:t>
            </w:r>
            <w:proofErr w:type="spellEnd"/>
            <w:r w:rsidRPr="008C2843">
              <w:rPr>
                <w:b/>
                <w:color w:val="000080"/>
                <w:lang w:val="en-US"/>
              </w:rPr>
              <w:t xml:space="preserve"> info)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B15E35" w:rsidRPr="008C2843" w:rsidRDefault="00B15E35" w:rsidP="00B17C28">
            <w:pPr>
              <w:spacing w:before="75" w:after="225"/>
              <w:rPr>
                <w:b/>
                <w:color w:val="000080"/>
                <w:lang w:val="en-US"/>
              </w:rPr>
            </w:pPr>
            <w:proofErr w:type="spellStart"/>
            <w:r w:rsidRPr="008C2843">
              <w:rPr>
                <w:b/>
                <w:bCs/>
                <w:color w:val="000080"/>
                <w:lang w:val="en-US"/>
              </w:rPr>
              <w:t>Viide</w:t>
            </w:r>
            <w:proofErr w:type="spellEnd"/>
            <w:r w:rsidRPr="008C2843">
              <w:rPr>
                <w:b/>
                <w:bCs/>
                <w:color w:val="000080"/>
                <w:lang w:val="en-US"/>
              </w:rPr>
              <w:t xml:space="preserve"> </w:t>
            </w:r>
            <w:proofErr w:type="spellStart"/>
            <w:r w:rsidRPr="008C2843">
              <w:rPr>
                <w:b/>
                <w:bCs/>
                <w:color w:val="000080"/>
                <w:lang w:val="en-US"/>
              </w:rPr>
              <w:t>kirjandusallikale</w:t>
            </w:r>
            <w:proofErr w:type="spellEnd"/>
          </w:p>
        </w:tc>
      </w:tr>
      <w:tr w:rsidR="008C2843" w:rsidRPr="008C2843" w:rsidTr="00B17C28">
        <w:tc>
          <w:tcPr>
            <w:tcW w:w="6192" w:type="dxa"/>
            <w:shd w:val="clear" w:color="auto" w:fill="auto"/>
          </w:tcPr>
          <w:p w:rsidR="008C2843" w:rsidRPr="008C2843" w:rsidRDefault="008C2843" w:rsidP="008C2843">
            <w:pPr>
              <w:rPr>
                <w:bCs/>
                <w:color w:val="365F91"/>
              </w:rPr>
            </w:pPr>
            <w:proofErr w:type="spellStart"/>
            <w:r w:rsidRPr="008C2843">
              <w:rPr>
                <w:bCs/>
                <w:color w:val="365F91"/>
              </w:rPr>
              <w:t>Objectives</w:t>
            </w:r>
            <w:proofErr w:type="spellEnd"/>
            <w:r w:rsidRPr="008C2843">
              <w:rPr>
                <w:bCs/>
                <w:color w:val="365F91"/>
              </w:rPr>
              <w:t>:</w:t>
            </w:r>
          </w:p>
          <w:p w:rsidR="008C2843" w:rsidRPr="008C2843" w:rsidRDefault="008C2843" w:rsidP="008C2843">
            <w:pPr>
              <w:rPr>
                <w:bCs/>
                <w:color w:val="365F91"/>
              </w:rPr>
            </w:pPr>
            <w:proofErr w:type="spellStart"/>
            <w:r w:rsidRPr="008C2843">
              <w:rPr>
                <w:bCs/>
                <w:color w:val="365F91"/>
              </w:rPr>
              <w:t>While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pressure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ulcers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commonly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occur</w:t>
            </w:r>
            <w:proofErr w:type="spellEnd"/>
            <w:r w:rsidRPr="008C2843">
              <w:rPr>
                <w:bCs/>
                <w:color w:val="365F91"/>
              </w:rPr>
              <w:t xml:space="preserve"> and are </w:t>
            </w:r>
            <w:proofErr w:type="spellStart"/>
            <w:r w:rsidRPr="008C2843">
              <w:rPr>
                <w:bCs/>
                <w:color w:val="365F91"/>
              </w:rPr>
              <w:t>associated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with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significant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health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burdens</w:t>
            </w:r>
            <w:proofErr w:type="spellEnd"/>
            <w:r w:rsidRPr="008C2843">
              <w:rPr>
                <w:bCs/>
                <w:color w:val="365F91"/>
              </w:rPr>
              <w:t xml:space="preserve">, </w:t>
            </w:r>
            <w:proofErr w:type="spellStart"/>
            <w:r w:rsidRPr="008C2843">
              <w:rPr>
                <w:bCs/>
                <w:color w:val="365F91"/>
              </w:rPr>
              <w:t>they</w:t>
            </w:r>
            <w:proofErr w:type="spellEnd"/>
            <w:r w:rsidRPr="008C2843">
              <w:rPr>
                <w:bCs/>
                <w:color w:val="365F91"/>
              </w:rPr>
              <w:t xml:space="preserve"> are </w:t>
            </w:r>
            <w:proofErr w:type="spellStart"/>
            <w:r w:rsidRPr="008C2843">
              <w:rPr>
                <w:bCs/>
                <w:color w:val="365F91"/>
              </w:rPr>
              <w:t>potentially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preventable</w:t>
            </w:r>
            <w:proofErr w:type="spellEnd"/>
            <w:r w:rsidRPr="008C2843">
              <w:rPr>
                <w:bCs/>
                <w:color w:val="365F91"/>
              </w:rPr>
              <w:t xml:space="preserve">. </w:t>
            </w:r>
            <w:proofErr w:type="spellStart"/>
            <w:r w:rsidRPr="008C2843">
              <w:rPr>
                <w:bCs/>
                <w:color w:val="365F91"/>
              </w:rPr>
              <w:t>This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report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systematically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reviews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the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evidence</w:t>
            </w:r>
            <w:proofErr w:type="spellEnd"/>
            <w:r w:rsidRPr="008C2843">
              <w:rPr>
                <w:bCs/>
                <w:color w:val="365F91"/>
              </w:rPr>
              <w:t xml:space="preserve"> on (1) </w:t>
            </w:r>
            <w:proofErr w:type="spellStart"/>
            <w:r w:rsidRPr="008C2843">
              <w:rPr>
                <w:bCs/>
                <w:color w:val="365F91"/>
              </w:rPr>
              <w:t>risk-assessment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scales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for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identifying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people</w:t>
            </w:r>
            <w:proofErr w:type="spellEnd"/>
            <w:r w:rsidRPr="008C2843">
              <w:rPr>
                <w:bCs/>
                <w:color w:val="365F91"/>
              </w:rPr>
              <w:t xml:space="preserve"> at </w:t>
            </w:r>
            <w:proofErr w:type="spellStart"/>
            <w:r w:rsidRPr="008C2843">
              <w:rPr>
                <w:bCs/>
                <w:color w:val="365F91"/>
              </w:rPr>
              <w:t>higher</w:t>
            </w:r>
            <w:proofErr w:type="spellEnd"/>
            <w:r w:rsidRPr="008C2843">
              <w:rPr>
                <w:bCs/>
                <w:color w:val="365F91"/>
              </w:rPr>
              <w:t xml:space="preserve"> risk of </w:t>
            </w:r>
            <w:proofErr w:type="spellStart"/>
            <w:r w:rsidRPr="008C2843">
              <w:rPr>
                <w:bCs/>
                <w:color w:val="365F91"/>
              </w:rPr>
              <w:t>pressure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ulcers</w:t>
            </w:r>
            <w:proofErr w:type="spellEnd"/>
            <w:r w:rsidRPr="008C2843">
              <w:rPr>
                <w:bCs/>
                <w:color w:val="365F91"/>
              </w:rPr>
              <w:t xml:space="preserve"> and (2) </w:t>
            </w:r>
            <w:proofErr w:type="spellStart"/>
            <w:r w:rsidRPr="008C2843">
              <w:rPr>
                <w:bCs/>
                <w:color w:val="365F91"/>
              </w:rPr>
              <w:t>preventive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interventions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to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decrease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incidence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or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severity</w:t>
            </w:r>
            <w:proofErr w:type="spellEnd"/>
            <w:r w:rsidRPr="008C2843">
              <w:rPr>
                <w:bCs/>
                <w:color w:val="365F91"/>
              </w:rPr>
              <w:t xml:space="preserve"> of </w:t>
            </w:r>
            <w:proofErr w:type="spellStart"/>
            <w:r w:rsidRPr="008C2843">
              <w:rPr>
                <w:bCs/>
                <w:color w:val="365F91"/>
              </w:rPr>
              <w:t>pressure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ulcers</w:t>
            </w:r>
            <w:proofErr w:type="spellEnd"/>
            <w:r w:rsidRPr="008C2843">
              <w:rPr>
                <w:bCs/>
                <w:color w:val="365F91"/>
              </w:rPr>
              <w:t xml:space="preserve">. </w:t>
            </w:r>
            <w:proofErr w:type="spellStart"/>
            <w:r w:rsidRPr="008C2843">
              <w:rPr>
                <w:bCs/>
                <w:color w:val="365F91"/>
              </w:rPr>
              <w:t>The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Agency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for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Healthcare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Research</w:t>
            </w:r>
            <w:proofErr w:type="spellEnd"/>
            <w:r w:rsidRPr="008C2843">
              <w:rPr>
                <w:bCs/>
                <w:color w:val="365F91"/>
              </w:rPr>
              <w:t xml:space="preserve"> and </w:t>
            </w:r>
            <w:proofErr w:type="spellStart"/>
            <w:r w:rsidRPr="008C2843">
              <w:rPr>
                <w:bCs/>
                <w:color w:val="365F91"/>
              </w:rPr>
              <w:t>Quality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also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commissioned</w:t>
            </w:r>
            <w:proofErr w:type="spellEnd"/>
            <w:r w:rsidRPr="008C2843">
              <w:rPr>
                <w:bCs/>
                <w:color w:val="365F91"/>
              </w:rPr>
              <w:t xml:space="preserve"> a </w:t>
            </w:r>
            <w:proofErr w:type="spellStart"/>
            <w:r w:rsidRPr="008C2843">
              <w:rPr>
                <w:bCs/>
                <w:color w:val="365F91"/>
              </w:rPr>
              <w:t>separate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report</w:t>
            </w:r>
            <w:proofErr w:type="spellEnd"/>
            <w:r w:rsidRPr="008C2843">
              <w:rPr>
                <w:bCs/>
                <w:color w:val="365F91"/>
              </w:rPr>
              <w:t xml:space="preserve"> on </w:t>
            </w:r>
            <w:proofErr w:type="spellStart"/>
            <w:r w:rsidRPr="008C2843">
              <w:rPr>
                <w:bCs/>
                <w:color w:val="365F91"/>
              </w:rPr>
              <w:t>effectiveness</w:t>
            </w:r>
            <w:proofErr w:type="spellEnd"/>
            <w:r w:rsidRPr="008C2843">
              <w:rPr>
                <w:bCs/>
                <w:color w:val="365F91"/>
              </w:rPr>
              <w:t xml:space="preserve"> of </w:t>
            </w:r>
            <w:proofErr w:type="spellStart"/>
            <w:r w:rsidRPr="008C2843">
              <w:rPr>
                <w:bCs/>
                <w:color w:val="365F91"/>
              </w:rPr>
              <w:t>interventions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to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treat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pressure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ulcers</w:t>
            </w:r>
            <w:proofErr w:type="spellEnd"/>
            <w:r w:rsidRPr="008C2843">
              <w:rPr>
                <w:bCs/>
                <w:color w:val="365F91"/>
              </w:rPr>
              <w:t>.</w:t>
            </w:r>
          </w:p>
          <w:p w:rsidR="008C2843" w:rsidRPr="008C2843" w:rsidRDefault="008C2843" w:rsidP="008C2843">
            <w:pPr>
              <w:rPr>
                <w:bCs/>
                <w:color w:val="365F91"/>
              </w:rPr>
            </w:pPr>
            <w:proofErr w:type="spellStart"/>
            <w:r w:rsidRPr="008C2843">
              <w:rPr>
                <w:bCs/>
                <w:color w:val="365F91"/>
              </w:rPr>
              <w:t>Data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sources</w:t>
            </w:r>
            <w:proofErr w:type="spellEnd"/>
            <w:r w:rsidRPr="008C2843">
              <w:rPr>
                <w:bCs/>
                <w:color w:val="365F91"/>
              </w:rPr>
              <w:t>:</w:t>
            </w:r>
          </w:p>
          <w:p w:rsidR="008C2843" w:rsidRPr="008C2843" w:rsidRDefault="008C2843" w:rsidP="008C2843">
            <w:pPr>
              <w:rPr>
                <w:bCs/>
                <w:color w:val="365F91"/>
              </w:rPr>
            </w:pPr>
          </w:p>
          <w:p w:rsidR="008C2843" w:rsidRPr="008C2843" w:rsidRDefault="008C2843" w:rsidP="008C2843">
            <w:pPr>
              <w:rPr>
                <w:bCs/>
                <w:color w:val="365F91"/>
              </w:rPr>
            </w:pPr>
            <w:proofErr w:type="spellStart"/>
            <w:r w:rsidRPr="008C2843">
              <w:rPr>
                <w:bCs/>
                <w:color w:val="365F91"/>
              </w:rPr>
              <w:t>Articles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were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identified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from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searches</w:t>
            </w:r>
            <w:proofErr w:type="spellEnd"/>
            <w:r w:rsidRPr="008C2843">
              <w:rPr>
                <w:bCs/>
                <w:color w:val="365F91"/>
              </w:rPr>
              <w:t xml:space="preserve"> of MEDLINE® (1946 </w:t>
            </w:r>
            <w:proofErr w:type="spellStart"/>
            <w:r w:rsidRPr="008C2843">
              <w:rPr>
                <w:bCs/>
                <w:color w:val="365F91"/>
              </w:rPr>
              <w:t>to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July</w:t>
            </w:r>
            <w:proofErr w:type="spellEnd"/>
            <w:r w:rsidRPr="008C2843">
              <w:rPr>
                <w:bCs/>
                <w:color w:val="365F91"/>
              </w:rPr>
              <w:t xml:space="preserve"> 2012), CINAHL (1988 </w:t>
            </w:r>
            <w:proofErr w:type="spellStart"/>
            <w:r w:rsidRPr="008C2843">
              <w:rPr>
                <w:bCs/>
                <w:color w:val="365F91"/>
              </w:rPr>
              <w:t>to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July</w:t>
            </w:r>
            <w:proofErr w:type="spellEnd"/>
            <w:r w:rsidRPr="008C2843">
              <w:rPr>
                <w:bCs/>
                <w:color w:val="365F91"/>
              </w:rPr>
              <w:t xml:space="preserve"> 2012), </w:t>
            </w:r>
            <w:proofErr w:type="spellStart"/>
            <w:r w:rsidRPr="008C2843">
              <w:rPr>
                <w:bCs/>
                <w:color w:val="365F91"/>
              </w:rPr>
              <w:t>the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Cochrane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Central</w:t>
            </w:r>
            <w:proofErr w:type="spellEnd"/>
            <w:r w:rsidRPr="008C2843">
              <w:rPr>
                <w:bCs/>
                <w:color w:val="365F91"/>
              </w:rPr>
              <w:t xml:space="preserve"> Register of </w:t>
            </w:r>
            <w:proofErr w:type="spellStart"/>
            <w:r w:rsidRPr="008C2843">
              <w:rPr>
                <w:bCs/>
                <w:color w:val="365F91"/>
              </w:rPr>
              <w:t>Controlled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Trials</w:t>
            </w:r>
            <w:proofErr w:type="spellEnd"/>
            <w:r w:rsidRPr="008C2843">
              <w:rPr>
                <w:bCs/>
                <w:color w:val="365F91"/>
              </w:rPr>
              <w:t xml:space="preserve"> and </w:t>
            </w:r>
            <w:proofErr w:type="spellStart"/>
            <w:r w:rsidRPr="008C2843">
              <w:rPr>
                <w:bCs/>
                <w:color w:val="365F91"/>
              </w:rPr>
              <w:t>Database</w:t>
            </w:r>
            <w:proofErr w:type="spellEnd"/>
            <w:r w:rsidRPr="008C2843">
              <w:rPr>
                <w:bCs/>
                <w:color w:val="365F91"/>
              </w:rPr>
              <w:t xml:space="preserve"> of </w:t>
            </w:r>
            <w:proofErr w:type="spellStart"/>
            <w:r w:rsidRPr="008C2843">
              <w:rPr>
                <w:bCs/>
                <w:color w:val="365F91"/>
              </w:rPr>
              <w:t>Systematic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Reviews</w:t>
            </w:r>
            <w:proofErr w:type="spellEnd"/>
            <w:r w:rsidRPr="008C2843">
              <w:rPr>
                <w:bCs/>
                <w:color w:val="365F91"/>
              </w:rPr>
              <w:t xml:space="preserve"> (</w:t>
            </w:r>
            <w:proofErr w:type="spellStart"/>
            <w:r w:rsidRPr="008C2843">
              <w:rPr>
                <w:bCs/>
                <w:color w:val="365F91"/>
              </w:rPr>
              <w:t>through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July</w:t>
            </w:r>
            <w:proofErr w:type="spellEnd"/>
            <w:r w:rsidRPr="008C2843">
              <w:rPr>
                <w:bCs/>
                <w:color w:val="365F91"/>
              </w:rPr>
              <w:t xml:space="preserve"> 2012), </w:t>
            </w:r>
            <w:proofErr w:type="spellStart"/>
            <w:r w:rsidRPr="008C2843">
              <w:rPr>
                <w:bCs/>
                <w:color w:val="365F91"/>
              </w:rPr>
              <w:t>clinical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trials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registries</w:t>
            </w:r>
            <w:proofErr w:type="spellEnd"/>
            <w:r w:rsidRPr="008C2843">
              <w:rPr>
                <w:bCs/>
                <w:color w:val="365F91"/>
              </w:rPr>
              <w:t xml:space="preserve">, and </w:t>
            </w:r>
            <w:proofErr w:type="spellStart"/>
            <w:r w:rsidRPr="008C2843">
              <w:rPr>
                <w:bCs/>
                <w:color w:val="365F91"/>
              </w:rPr>
              <w:t>reference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lists</w:t>
            </w:r>
            <w:proofErr w:type="spellEnd"/>
            <w:r w:rsidRPr="008C2843">
              <w:rPr>
                <w:bCs/>
                <w:color w:val="365F91"/>
              </w:rPr>
              <w:t xml:space="preserve">. </w:t>
            </w:r>
            <w:proofErr w:type="spellStart"/>
            <w:r w:rsidRPr="008C2843">
              <w:rPr>
                <w:bCs/>
                <w:color w:val="365F91"/>
              </w:rPr>
              <w:t>Review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methods</w:t>
            </w:r>
            <w:proofErr w:type="spellEnd"/>
            <w:r w:rsidRPr="008C2843">
              <w:rPr>
                <w:bCs/>
                <w:color w:val="365F91"/>
              </w:rPr>
              <w:t xml:space="preserve">. </w:t>
            </w:r>
            <w:proofErr w:type="spellStart"/>
            <w:r w:rsidRPr="008C2843">
              <w:rPr>
                <w:bCs/>
                <w:color w:val="365F91"/>
              </w:rPr>
              <w:t>We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used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predefined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criteria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to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determine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study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eligibility</w:t>
            </w:r>
            <w:proofErr w:type="spellEnd"/>
            <w:r w:rsidRPr="008C2843">
              <w:rPr>
                <w:bCs/>
                <w:color w:val="365F91"/>
              </w:rPr>
              <w:t xml:space="preserve">. </w:t>
            </w:r>
            <w:proofErr w:type="spellStart"/>
            <w:r w:rsidRPr="008C2843">
              <w:rPr>
                <w:bCs/>
                <w:color w:val="365F91"/>
              </w:rPr>
              <w:t>We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selected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randomized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trials</w:t>
            </w:r>
            <w:proofErr w:type="spellEnd"/>
            <w:r w:rsidRPr="008C2843">
              <w:rPr>
                <w:bCs/>
                <w:color w:val="365F91"/>
              </w:rPr>
              <w:t xml:space="preserve"> and </w:t>
            </w:r>
            <w:proofErr w:type="spellStart"/>
            <w:r w:rsidRPr="008C2843">
              <w:rPr>
                <w:bCs/>
                <w:color w:val="365F91"/>
              </w:rPr>
              <w:t>cohort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studies</w:t>
            </w:r>
            <w:proofErr w:type="spellEnd"/>
            <w:r w:rsidRPr="008C2843">
              <w:rPr>
                <w:bCs/>
                <w:color w:val="365F91"/>
              </w:rPr>
              <w:t xml:space="preserve"> on </w:t>
            </w:r>
            <w:proofErr w:type="spellStart"/>
            <w:r w:rsidRPr="008C2843">
              <w:rPr>
                <w:bCs/>
                <w:color w:val="365F91"/>
              </w:rPr>
              <w:t>the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effects</w:t>
            </w:r>
            <w:proofErr w:type="spellEnd"/>
            <w:r w:rsidRPr="008C2843">
              <w:rPr>
                <w:bCs/>
                <w:color w:val="365F91"/>
              </w:rPr>
              <w:t xml:space="preserve"> of </w:t>
            </w:r>
            <w:proofErr w:type="spellStart"/>
            <w:r w:rsidRPr="008C2843">
              <w:rPr>
                <w:bCs/>
                <w:color w:val="365F91"/>
              </w:rPr>
              <w:t>use</w:t>
            </w:r>
            <w:proofErr w:type="spellEnd"/>
            <w:r w:rsidRPr="008C2843">
              <w:rPr>
                <w:bCs/>
                <w:color w:val="365F91"/>
              </w:rPr>
              <w:t xml:space="preserve"> of </w:t>
            </w:r>
            <w:proofErr w:type="spellStart"/>
            <w:r w:rsidRPr="008C2843">
              <w:rPr>
                <w:bCs/>
                <w:color w:val="365F91"/>
              </w:rPr>
              <w:t>risk-assessment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tools</w:t>
            </w:r>
            <w:proofErr w:type="spellEnd"/>
            <w:r w:rsidRPr="008C2843">
              <w:rPr>
                <w:bCs/>
                <w:color w:val="365F91"/>
              </w:rPr>
              <w:t xml:space="preserve"> and </w:t>
            </w:r>
            <w:proofErr w:type="spellStart"/>
            <w:r w:rsidRPr="008C2843">
              <w:rPr>
                <w:bCs/>
                <w:color w:val="365F91"/>
              </w:rPr>
              <w:t>preventive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interventions</w:t>
            </w:r>
            <w:proofErr w:type="spellEnd"/>
            <w:r w:rsidRPr="008C2843">
              <w:rPr>
                <w:bCs/>
                <w:color w:val="365F91"/>
              </w:rPr>
              <w:t xml:space="preserve"> on </w:t>
            </w:r>
            <w:proofErr w:type="spellStart"/>
            <w:r w:rsidRPr="008C2843">
              <w:rPr>
                <w:bCs/>
                <w:color w:val="365F91"/>
              </w:rPr>
              <w:t>clinical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outcomes</w:t>
            </w:r>
            <w:proofErr w:type="spellEnd"/>
            <w:r w:rsidRPr="008C2843">
              <w:rPr>
                <w:bCs/>
                <w:color w:val="365F91"/>
              </w:rPr>
              <w:t xml:space="preserve">. </w:t>
            </w:r>
            <w:proofErr w:type="spellStart"/>
            <w:r w:rsidRPr="008C2843">
              <w:rPr>
                <w:bCs/>
                <w:color w:val="365F91"/>
              </w:rPr>
              <w:t>We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also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selected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prospective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studies</w:t>
            </w:r>
            <w:proofErr w:type="spellEnd"/>
            <w:r w:rsidRPr="008C2843">
              <w:rPr>
                <w:bCs/>
                <w:color w:val="365F91"/>
              </w:rPr>
              <w:t xml:space="preserve"> on </w:t>
            </w:r>
            <w:proofErr w:type="spellStart"/>
            <w:r w:rsidRPr="008C2843">
              <w:rPr>
                <w:bCs/>
                <w:color w:val="365F91"/>
              </w:rPr>
              <w:t>the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diagnostic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accuracy</w:t>
            </w:r>
            <w:proofErr w:type="spellEnd"/>
            <w:r w:rsidRPr="008C2843">
              <w:rPr>
                <w:bCs/>
                <w:color w:val="365F91"/>
              </w:rPr>
              <w:t xml:space="preserve"> of </w:t>
            </w:r>
            <w:proofErr w:type="spellStart"/>
            <w:r w:rsidRPr="008C2843">
              <w:rPr>
                <w:bCs/>
                <w:color w:val="365F91"/>
              </w:rPr>
              <w:t>risk-assessment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tools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for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predicting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incidence</w:t>
            </w:r>
            <w:proofErr w:type="spellEnd"/>
            <w:r w:rsidRPr="008C2843">
              <w:rPr>
                <w:bCs/>
                <w:color w:val="365F91"/>
              </w:rPr>
              <w:t xml:space="preserve"> of </w:t>
            </w:r>
            <w:proofErr w:type="spellStart"/>
            <w:r w:rsidRPr="008C2843">
              <w:rPr>
                <w:bCs/>
                <w:color w:val="365F91"/>
              </w:rPr>
              <w:t>pressure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ulcers</w:t>
            </w:r>
            <w:proofErr w:type="spellEnd"/>
            <w:r w:rsidRPr="008C2843">
              <w:rPr>
                <w:bCs/>
                <w:color w:val="365F91"/>
              </w:rPr>
              <w:t xml:space="preserve">. </w:t>
            </w:r>
            <w:proofErr w:type="spellStart"/>
            <w:r w:rsidRPr="008C2843">
              <w:rPr>
                <w:bCs/>
                <w:color w:val="365F91"/>
              </w:rPr>
              <w:t>The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quality</w:t>
            </w:r>
            <w:proofErr w:type="spellEnd"/>
            <w:r w:rsidRPr="008C2843">
              <w:rPr>
                <w:bCs/>
                <w:color w:val="365F91"/>
              </w:rPr>
              <w:t xml:space="preserve"> of </w:t>
            </w:r>
            <w:proofErr w:type="spellStart"/>
            <w:r w:rsidRPr="008C2843">
              <w:rPr>
                <w:bCs/>
                <w:color w:val="365F91"/>
              </w:rPr>
              <w:t>included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studies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was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assessed</w:t>
            </w:r>
            <w:proofErr w:type="spellEnd"/>
            <w:r w:rsidRPr="008C2843">
              <w:rPr>
                <w:bCs/>
                <w:color w:val="365F91"/>
              </w:rPr>
              <w:t xml:space="preserve">, </w:t>
            </w:r>
            <w:proofErr w:type="spellStart"/>
            <w:r w:rsidRPr="008C2843">
              <w:rPr>
                <w:bCs/>
                <w:color w:val="365F91"/>
              </w:rPr>
              <w:t>data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were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extracted</w:t>
            </w:r>
            <w:proofErr w:type="spellEnd"/>
            <w:r w:rsidRPr="008C2843">
              <w:rPr>
                <w:bCs/>
                <w:color w:val="365F91"/>
              </w:rPr>
              <w:t xml:space="preserve">, and </w:t>
            </w:r>
            <w:proofErr w:type="spellStart"/>
            <w:r w:rsidRPr="008C2843">
              <w:rPr>
                <w:bCs/>
                <w:color w:val="365F91"/>
              </w:rPr>
              <w:t>results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were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summarized</w:t>
            </w:r>
            <w:proofErr w:type="spellEnd"/>
            <w:r w:rsidRPr="008C2843">
              <w:rPr>
                <w:bCs/>
                <w:color w:val="365F91"/>
              </w:rPr>
              <w:t>.</w:t>
            </w:r>
          </w:p>
          <w:p w:rsidR="008C2843" w:rsidRPr="008C2843" w:rsidRDefault="008C2843" w:rsidP="008C2843">
            <w:pPr>
              <w:rPr>
                <w:bCs/>
                <w:color w:val="365F91"/>
              </w:rPr>
            </w:pPr>
            <w:proofErr w:type="spellStart"/>
            <w:r w:rsidRPr="008C2843">
              <w:rPr>
                <w:bCs/>
                <w:color w:val="365F91"/>
              </w:rPr>
              <w:t>Results</w:t>
            </w:r>
            <w:proofErr w:type="spellEnd"/>
            <w:r w:rsidRPr="008C2843">
              <w:rPr>
                <w:bCs/>
                <w:color w:val="365F91"/>
              </w:rPr>
              <w:t>:</w:t>
            </w:r>
          </w:p>
          <w:p w:rsidR="008C2843" w:rsidRPr="008C2843" w:rsidRDefault="008C2843" w:rsidP="008C2843">
            <w:pPr>
              <w:rPr>
                <w:bCs/>
                <w:color w:val="365F91"/>
              </w:rPr>
            </w:pPr>
          </w:p>
          <w:p w:rsidR="008C2843" w:rsidRPr="008C2843" w:rsidRDefault="008C2843" w:rsidP="008C2843">
            <w:pPr>
              <w:rPr>
                <w:bCs/>
                <w:color w:val="365F91"/>
              </w:rPr>
            </w:pPr>
            <w:proofErr w:type="spellStart"/>
            <w:r w:rsidRPr="008C2843">
              <w:rPr>
                <w:bCs/>
                <w:color w:val="365F91"/>
              </w:rPr>
              <w:t>Of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the</w:t>
            </w:r>
            <w:proofErr w:type="spellEnd"/>
            <w:r w:rsidRPr="008C2843">
              <w:rPr>
                <w:bCs/>
                <w:color w:val="365F91"/>
              </w:rPr>
              <w:t xml:space="preserve"> 4,733 </w:t>
            </w:r>
            <w:proofErr w:type="spellStart"/>
            <w:r w:rsidRPr="008C2843">
              <w:rPr>
                <w:bCs/>
                <w:color w:val="365F91"/>
              </w:rPr>
              <w:t>citations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identified</w:t>
            </w:r>
            <w:proofErr w:type="spellEnd"/>
            <w:r w:rsidRPr="008C2843">
              <w:rPr>
                <w:bCs/>
                <w:color w:val="365F91"/>
              </w:rPr>
              <w:t xml:space="preserve"> at </w:t>
            </w:r>
            <w:proofErr w:type="spellStart"/>
            <w:r w:rsidRPr="008C2843">
              <w:rPr>
                <w:bCs/>
                <w:color w:val="365F91"/>
              </w:rPr>
              <w:t>the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title</w:t>
            </w:r>
            <w:proofErr w:type="spellEnd"/>
            <w:r w:rsidRPr="008C2843">
              <w:rPr>
                <w:bCs/>
                <w:color w:val="365F91"/>
              </w:rPr>
              <w:t xml:space="preserve"> and </w:t>
            </w:r>
            <w:proofErr w:type="spellStart"/>
            <w:r w:rsidRPr="008C2843">
              <w:rPr>
                <w:bCs/>
                <w:color w:val="365F91"/>
              </w:rPr>
              <w:t>abstract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level</w:t>
            </w:r>
            <w:proofErr w:type="spellEnd"/>
            <w:r w:rsidRPr="008C2843">
              <w:rPr>
                <w:bCs/>
                <w:color w:val="365F91"/>
              </w:rPr>
              <w:t xml:space="preserve">, </w:t>
            </w:r>
            <w:proofErr w:type="spellStart"/>
            <w:r w:rsidRPr="008C2843">
              <w:rPr>
                <w:bCs/>
                <w:color w:val="365F91"/>
              </w:rPr>
              <w:t>we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screened</w:t>
            </w:r>
            <w:proofErr w:type="spellEnd"/>
            <w:r w:rsidRPr="008C2843">
              <w:rPr>
                <w:bCs/>
                <w:color w:val="365F91"/>
              </w:rPr>
              <w:t xml:space="preserve"> and </w:t>
            </w:r>
            <w:proofErr w:type="spellStart"/>
            <w:r w:rsidRPr="008C2843">
              <w:rPr>
                <w:bCs/>
                <w:color w:val="365F91"/>
              </w:rPr>
              <w:t>reviewed</w:t>
            </w:r>
            <w:proofErr w:type="spellEnd"/>
            <w:r w:rsidRPr="008C2843">
              <w:rPr>
                <w:bCs/>
                <w:color w:val="365F91"/>
              </w:rPr>
              <w:t xml:space="preserve"> 747 </w:t>
            </w:r>
            <w:proofErr w:type="spellStart"/>
            <w:r w:rsidRPr="008C2843">
              <w:rPr>
                <w:bCs/>
                <w:color w:val="365F91"/>
              </w:rPr>
              <w:t>full-text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articles</w:t>
            </w:r>
            <w:proofErr w:type="spellEnd"/>
            <w:r w:rsidRPr="008C2843">
              <w:rPr>
                <w:bCs/>
                <w:color w:val="365F91"/>
              </w:rPr>
              <w:t xml:space="preserve">. A </w:t>
            </w:r>
            <w:proofErr w:type="spellStart"/>
            <w:r w:rsidRPr="008C2843">
              <w:rPr>
                <w:bCs/>
                <w:color w:val="365F91"/>
              </w:rPr>
              <w:t>total</w:t>
            </w:r>
            <w:proofErr w:type="spellEnd"/>
            <w:r w:rsidRPr="008C2843">
              <w:rPr>
                <w:bCs/>
                <w:color w:val="365F91"/>
              </w:rPr>
              <w:t xml:space="preserve"> of 120 </w:t>
            </w:r>
            <w:proofErr w:type="spellStart"/>
            <w:r w:rsidRPr="008C2843">
              <w:rPr>
                <w:bCs/>
                <w:color w:val="365F91"/>
              </w:rPr>
              <w:t>studies</w:t>
            </w:r>
            <w:proofErr w:type="spellEnd"/>
            <w:r w:rsidRPr="008C2843">
              <w:rPr>
                <w:bCs/>
                <w:color w:val="365F91"/>
              </w:rPr>
              <w:t xml:space="preserve"> (</w:t>
            </w:r>
            <w:proofErr w:type="spellStart"/>
            <w:r w:rsidRPr="008C2843">
              <w:rPr>
                <w:bCs/>
                <w:color w:val="365F91"/>
              </w:rPr>
              <w:t>in</w:t>
            </w:r>
            <w:proofErr w:type="spellEnd"/>
            <w:r w:rsidRPr="008C2843">
              <w:rPr>
                <w:bCs/>
                <w:color w:val="365F91"/>
              </w:rPr>
              <w:t xml:space="preserve"> 122 </w:t>
            </w:r>
            <w:proofErr w:type="spellStart"/>
            <w:r w:rsidRPr="008C2843">
              <w:rPr>
                <w:bCs/>
                <w:color w:val="365F91"/>
              </w:rPr>
              <w:t>publications</w:t>
            </w:r>
            <w:proofErr w:type="spellEnd"/>
            <w:r w:rsidRPr="008C2843">
              <w:rPr>
                <w:bCs/>
                <w:color w:val="365F91"/>
              </w:rPr>
              <w:t xml:space="preserve">) </w:t>
            </w:r>
            <w:proofErr w:type="spellStart"/>
            <w:r w:rsidRPr="008C2843">
              <w:rPr>
                <w:bCs/>
                <w:color w:val="365F91"/>
              </w:rPr>
              <w:t>were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included</w:t>
            </w:r>
            <w:proofErr w:type="spellEnd"/>
            <w:r w:rsidRPr="008C2843">
              <w:rPr>
                <w:bCs/>
                <w:color w:val="365F91"/>
              </w:rPr>
              <w:t xml:space="preserve">. </w:t>
            </w:r>
            <w:proofErr w:type="spellStart"/>
            <w:r w:rsidRPr="008C2843">
              <w:rPr>
                <w:bCs/>
                <w:color w:val="365F91"/>
              </w:rPr>
              <w:t>One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good-</w:t>
            </w:r>
            <w:proofErr w:type="spellEnd"/>
            <w:r w:rsidRPr="008C2843">
              <w:rPr>
                <w:bCs/>
                <w:color w:val="365F91"/>
              </w:rPr>
              <w:t xml:space="preserve"> and </w:t>
            </w:r>
            <w:proofErr w:type="spellStart"/>
            <w:r w:rsidRPr="008C2843">
              <w:rPr>
                <w:bCs/>
                <w:color w:val="365F91"/>
              </w:rPr>
              <w:t>two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poor-quality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studies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evaluated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effects</w:t>
            </w:r>
            <w:proofErr w:type="spellEnd"/>
            <w:r w:rsidRPr="008C2843">
              <w:rPr>
                <w:bCs/>
                <w:color w:val="365F91"/>
              </w:rPr>
              <w:t xml:space="preserve"> of </w:t>
            </w:r>
            <w:proofErr w:type="spellStart"/>
            <w:r w:rsidRPr="008C2843">
              <w:rPr>
                <w:bCs/>
                <w:color w:val="365F91"/>
              </w:rPr>
              <w:t>using</w:t>
            </w:r>
            <w:proofErr w:type="spellEnd"/>
            <w:r w:rsidRPr="008C2843">
              <w:rPr>
                <w:bCs/>
                <w:color w:val="365F91"/>
              </w:rPr>
              <w:t xml:space="preserve"> a </w:t>
            </w:r>
            <w:proofErr w:type="spellStart"/>
            <w:r w:rsidRPr="008C2843">
              <w:rPr>
                <w:bCs/>
                <w:color w:val="365F91"/>
              </w:rPr>
              <w:t>risk-assessment</w:t>
            </w:r>
            <w:proofErr w:type="spellEnd"/>
            <w:r w:rsidRPr="008C2843">
              <w:rPr>
                <w:bCs/>
                <w:color w:val="365F91"/>
              </w:rPr>
              <w:t xml:space="preserve"> tool on </w:t>
            </w:r>
            <w:proofErr w:type="spellStart"/>
            <w:r w:rsidRPr="008C2843">
              <w:rPr>
                <w:bCs/>
                <w:color w:val="365F91"/>
              </w:rPr>
              <w:t>clinical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outcomes</w:t>
            </w:r>
            <w:proofErr w:type="spellEnd"/>
            <w:r w:rsidRPr="008C2843">
              <w:rPr>
                <w:bCs/>
                <w:color w:val="365F91"/>
              </w:rPr>
              <w:t xml:space="preserve">, </w:t>
            </w:r>
            <w:proofErr w:type="spellStart"/>
            <w:r w:rsidRPr="008C2843">
              <w:rPr>
                <w:bCs/>
                <w:color w:val="365F91"/>
              </w:rPr>
              <w:t>with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the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good-quality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randomized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trial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showing</w:t>
            </w:r>
            <w:proofErr w:type="spellEnd"/>
            <w:r w:rsidRPr="008C2843">
              <w:rPr>
                <w:bCs/>
                <w:color w:val="365F91"/>
              </w:rPr>
              <w:t xml:space="preserve"> no </w:t>
            </w:r>
            <w:proofErr w:type="spellStart"/>
            <w:r w:rsidRPr="008C2843">
              <w:rPr>
                <w:bCs/>
                <w:color w:val="365F91"/>
              </w:rPr>
              <w:t>difference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between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use</w:t>
            </w:r>
            <w:proofErr w:type="spellEnd"/>
            <w:r w:rsidRPr="008C2843">
              <w:rPr>
                <w:bCs/>
                <w:color w:val="365F91"/>
              </w:rPr>
              <w:t xml:space="preserve"> of </w:t>
            </w:r>
            <w:proofErr w:type="spellStart"/>
            <w:r w:rsidRPr="008C2843">
              <w:rPr>
                <w:bCs/>
                <w:color w:val="365F91"/>
              </w:rPr>
              <w:t>the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Waterlow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scale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or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the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Ramstadius</w:t>
            </w:r>
            <w:proofErr w:type="spellEnd"/>
            <w:r w:rsidRPr="008C2843">
              <w:rPr>
                <w:bCs/>
                <w:color w:val="365F91"/>
              </w:rPr>
              <w:t xml:space="preserve"> tool </w:t>
            </w:r>
            <w:proofErr w:type="spellStart"/>
            <w:r w:rsidRPr="008C2843">
              <w:rPr>
                <w:bCs/>
                <w:color w:val="365F91"/>
              </w:rPr>
              <w:t>compared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with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clinical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judgment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in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subsequent</w:t>
            </w:r>
            <w:proofErr w:type="spellEnd"/>
            <w:r w:rsidRPr="008C2843">
              <w:rPr>
                <w:bCs/>
                <w:color w:val="365F91"/>
              </w:rPr>
              <w:t xml:space="preserve"> risk of </w:t>
            </w:r>
            <w:proofErr w:type="spellStart"/>
            <w:r w:rsidRPr="008C2843">
              <w:rPr>
                <w:bCs/>
                <w:color w:val="365F91"/>
              </w:rPr>
              <w:t>pressure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ulcers</w:t>
            </w:r>
            <w:proofErr w:type="spellEnd"/>
            <w:r w:rsidRPr="008C2843">
              <w:rPr>
                <w:bCs/>
                <w:color w:val="365F91"/>
              </w:rPr>
              <w:t xml:space="preserve">. </w:t>
            </w:r>
            <w:proofErr w:type="spellStart"/>
            <w:r w:rsidRPr="008C2843">
              <w:rPr>
                <w:bCs/>
                <w:color w:val="365F91"/>
              </w:rPr>
              <w:t>Studies</w:t>
            </w:r>
            <w:proofErr w:type="spellEnd"/>
            <w:r w:rsidRPr="008C2843">
              <w:rPr>
                <w:bCs/>
                <w:color w:val="365F91"/>
              </w:rPr>
              <w:t xml:space="preserve"> of </w:t>
            </w:r>
            <w:proofErr w:type="spellStart"/>
            <w:r w:rsidRPr="008C2843">
              <w:rPr>
                <w:bCs/>
                <w:color w:val="365F91"/>
              </w:rPr>
              <w:t>diagnostic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accuracy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found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that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commonly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used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risk-assessment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instruments</w:t>
            </w:r>
            <w:proofErr w:type="spellEnd"/>
            <w:r w:rsidRPr="008C2843">
              <w:rPr>
                <w:bCs/>
                <w:color w:val="365F91"/>
              </w:rPr>
              <w:t xml:space="preserve"> (</w:t>
            </w:r>
            <w:proofErr w:type="spellStart"/>
            <w:r w:rsidRPr="008C2843">
              <w:rPr>
                <w:bCs/>
                <w:color w:val="365F91"/>
              </w:rPr>
              <w:t>such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as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the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Braden</w:t>
            </w:r>
            <w:proofErr w:type="spellEnd"/>
            <w:r w:rsidRPr="008C2843">
              <w:rPr>
                <w:bCs/>
                <w:color w:val="365F91"/>
              </w:rPr>
              <w:t xml:space="preserve">, </w:t>
            </w:r>
            <w:proofErr w:type="spellStart"/>
            <w:r w:rsidRPr="008C2843">
              <w:rPr>
                <w:bCs/>
                <w:color w:val="365F91"/>
              </w:rPr>
              <w:t>Norton</w:t>
            </w:r>
            <w:proofErr w:type="spellEnd"/>
            <w:r w:rsidRPr="008C2843">
              <w:rPr>
                <w:bCs/>
                <w:color w:val="365F91"/>
              </w:rPr>
              <w:t xml:space="preserve">, and </w:t>
            </w:r>
            <w:proofErr w:type="spellStart"/>
            <w:r w:rsidRPr="008C2843">
              <w:rPr>
                <w:bCs/>
                <w:color w:val="365F91"/>
              </w:rPr>
              <w:t>Waterlow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scales</w:t>
            </w:r>
            <w:proofErr w:type="spellEnd"/>
            <w:r w:rsidRPr="008C2843">
              <w:rPr>
                <w:bCs/>
                <w:color w:val="365F91"/>
              </w:rPr>
              <w:t xml:space="preserve">) </w:t>
            </w:r>
            <w:proofErr w:type="spellStart"/>
            <w:r w:rsidRPr="008C2843">
              <w:rPr>
                <w:bCs/>
                <w:color w:val="365F91"/>
              </w:rPr>
              <w:t>can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help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identify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patients</w:t>
            </w:r>
            <w:proofErr w:type="spellEnd"/>
            <w:r w:rsidRPr="008C2843">
              <w:rPr>
                <w:bCs/>
                <w:color w:val="365F91"/>
              </w:rPr>
              <w:t xml:space="preserve"> at </w:t>
            </w:r>
            <w:proofErr w:type="spellStart"/>
            <w:r w:rsidRPr="008C2843">
              <w:rPr>
                <w:bCs/>
                <w:color w:val="365F91"/>
              </w:rPr>
              <w:t>increased</w:t>
            </w:r>
            <w:proofErr w:type="spellEnd"/>
            <w:r w:rsidRPr="008C2843">
              <w:rPr>
                <w:bCs/>
                <w:color w:val="365F91"/>
              </w:rPr>
              <w:t xml:space="preserve"> risk </w:t>
            </w:r>
            <w:proofErr w:type="spellStart"/>
            <w:r w:rsidRPr="008C2843">
              <w:rPr>
                <w:bCs/>
                <w:color w:val="365F91"/>
              </w:rPr>
              <w:t>for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ulcers</w:t>
            </w:r>
            <w:proofErr w:type="spellEnd"/>
            <w:r w:rsidRPr="008C2843">
              <w:rPr>
                <w:bCs/>
                <w:color w:val="365F91"/>
              </w:rPr>
              <w:t xml:space="preserve">, </w:t>
            </w:r>
            <w:proofErr w:type="spellStart"/>
            <w:r w:rsidRPr="008C2843">
              <w:rPr>
                <w:bCs/>
                <w:color w:val="365F91"/>
              </w:rPr>
              <w:t>but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appear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to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be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relatively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weak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predictors</w:t>
            </w:r>
            <w:proofErr w:type="spellEnd"/>
            <w:r w:rsidRPr="008C2843">
              <w:rPr>
                <w:bCs/>
                <w:color w:val="365F91"/>
              </w:rPr>
              <w:t xml:space="preserve">, </w:t>
            </w:r>
            <w:proofErr w:type="spellStart"/>
            <w:r w:rsidRPr="008C2843">
              <w:rPr>
                <w:bCs/>
                <w:color w:val="365F91"/>
              </w:rPr>
              <w:t>with</w:t>
            </w:r>
            <w:proofErr w:type="spellEnd"/>
            <w:r w:rsidRPr="008C2843">
              <w:rPr>
                <w:bCs/>
                <w:color w:val="365F91"/>
              </w:rPr>
              <w:t xml:space="preserve"> no </w:t>
            </w:r>
            <w:proofErr w:type="spellStart"/>
            <w:r w:rsidRPr="008C2843">
              <w:rPr>
                <w:bCs/>
                <w:color w:val="365F91"/>
              </w:rPr>
              <w:t>clear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difference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among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instruments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in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diagnostic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accuracy</w:t>
            </w:r>
            <w:proofErr w:type="spellEnd"/>
            <w:r w:rsidRPr="008C2843">
              <w:rPr>
                <w:bCs/>
                <w:color w:val="365F91"/>
              </w:rPr>
              <w:t xml:space="preserve">. </w:t>
            </w:r>
            <w:proofErr w:type="spellStart"/>
            <w:r w:rsidRPr="008C2843">
              <w:rPr>
                <w:bCs/>
                <w:color w:val="365F91"/>
              </w:rPr>
              <w:lastRenderedPageBreak/>
              <w:t>Fair-quality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randomized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trials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consistently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found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that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more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advanced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static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support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surfaces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were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associated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with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lower</w:t>
            </w:r>
            <w:proofErr w:type="spellEnd"/>
            <w:r w:rsidRPr="008C2843">
              <w:rPr>
                <w:bCs/>
                <w:color w:val="365F91"/>
              </w:rPr>
              <w:t xml:space="preserve"> risk of </w:t>
            </w:r>
            <w:proofErr w:type="spellStart"/>
            <w:r w:rsidRPr="008C2843">
              <w:rPr>
                <w:bCs/>
                <w:color w:val="365F91"/>
              </w:rPr>
              <w:t>pressure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ulcers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compared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with</w:t>
            </w:r>
            <w:proofErr w:type="spellEnd"/>
            <w:r w:rsidRPr="008C2843">
              <w:rPr>
                <w:bCs/>
                <w:color w:val="365F91"/>
              </w:rPr>
              <w:t xml:space="preserve"> standard </w:t>
            </w:r>
            <w:proofErr w:type="spellStart"/>
            <w:r w:rsidRPr="008C2843">
              <w:rPr>
                <w:bCs/>
                <w:color w:val="365F91"/>
              </w:rPr>
              <w:t>mattresses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in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higher</w:t>
            </w:r>
            <w:proofErr w:type="spellEnd"/>
            <w:r w:rsidRPr="008C2843">
              <w:rPr>
                <w:bCs/>
                <w:color w:val="365F91"/>
              </w:rPr>
              <w:t xml:space="preserve"> risk </w:t>
            </w:r>
            <w:proofErr w:type="spellStart"/>
            <w:r w:rsidRPr="008C2843">
              <w:rPr>
                <w:bCs/>
                <w:color w:val="365F91"/>
              </w:rPr>
              <w:t>patients</w:t>
            </w:r>
            <w:proofErr w:type="spellEnd"/>
            <w:r w:rsidRPr="008C2843">
              <w:rPr>
                <w:bCs/>
                <w:color w:val="365F91"/>
              </w:rPr>
              <w:t xml:space="preserve"> (</w:t>
            </w:r>
            <w:proofErr w:type="spellStart"/>
            <w:r w:rsidRPr="008C2843">
              <w:rPr>
                <w:bCs/>
                <w:color w:val="365F91"/>
              </w:rPr>
              <w:t>relative</w:t>
            </w:r>
            <w:proofErr w:type="spellEnd"/>
            <w:r w:rsidRPr="008C2843">
              <w:rPr>
                <w:bCs/>
                <w:color w:val="365F91"/>
              </w:rPr>
              <w:t xml:space="preserve"> risk range, 0.20 </w:t>
            </w:r>
            <w:proofErr w:type="spellStart"/>
            <w:r w:rsidRPr="008C2843">
              <w:rPr>
                <w:bCs/>
                <w:color w:val="365F91"/>
              </w:rPr>
              <w:t>to</w:t>
            </w:r>
            <w:proofErr w:type="spellEnd"/>
            <w:r w:rsidRPr="008C2843">
              <w:rPr>
                <w:bCs/>
                <w:color w:val="365F91"/>
              </w:rPr>
              <w:t xml:space="preserve"> 0.60), </w:t>
            </w:r>
            <w:proofErr w:type="spellStart"/>
            <w:r w:rsidRPr="008C2843">
              <w:rPr>
                <w:bCs/>
                <w:color w:val="365F91"/>
              </w:rPr>
              <w:t>with</w:t>
            </w:r>
            <w:proofErr w:type="spellEnd"/>
            <w:r w:rsidRPr="008C2843">
              <w:rPr>
                <w:bCs/>
                <w:color w:val="365F91"/>
              </w:rPr>
              <w:t xml:space="preserve"> no </w:t>
            </w:r>
            <w:proofErr w:type="spellStart"/>
            <w:r w:rsidRPr="008C2843">
              <w:rPr>
                <w:bCs/>
                <w:color w:val="365F91"/>
              </w:rPr>
              <w:t>clear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differences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among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different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advanced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static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support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surfaces</w:t>
            </w:r>
            <w:proofErr w:type="spellEnd"/>
            <w:r w:rsidRPr="008C2843">
              <w:rPr>
                <w:bCs/>
                <w:color w:val="365F91"/>
              </w:rPr>
              <w:t xml:space="preserve">. </w:t>
            </w:r>
            <w:proofErr w:type="spellStart"/>
            <w:r w:rsidRPr="008C2843">
              <w:rPr>
                <w:bCs/>
                <w:color w:val="365F91"/>
              </w:rPr>
              <w:t>Evidence</w:t>
            </w:r>
            <w:proofErr w:type="spellEnd"/>
            <w:r w:rsidRPr="008C2843">
              <w:rPr>
                <w:bCs/>
                <w:color w:val="365F91"/>
              </w:rPr>
              <w:t xml:space="preserve"> on </w:t>
            </w:r>
            <w:proofErr w:type="spellStart"/>
            <w:r w:rsidRPr="008C2843">
              <w:rPr>
                <w:bCs/>
                <w:color w:val="365F91"/>
              </w:rPr>
              <w:t>the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effectiveness</w:t>
            </w:r>
            <w:proofErr w:type="spellEnd"/>
            <w:r w:rsidRPr="008C2843">
              <w:rPr>
                <w:bCs/>
                <w:color w:val="365F91"/>
              </w:rPr>
              <w:t xml:space="preserve"> and </w:t>
            </w:r>
            <w:proofErr w:type="spellStart"/>
            <w:r w:rsidRPr="008C2843">
              <w:rPr>
                <w:bCs/>
                <w:color w:val="365F91"/>
              </w:rPr>
              <w:t>comparative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effectiveness</w:t>
            </w:r>
            <w:proofErr w:type="spellEnd"/>
            <w:r w:rsidRPr="008C2843">
              <w:rPr>
                <w:bCs/>
                <w:color w:val="365F91"/>
              </w:rPr>
              <w:t xml:space="preserve"> of </w:t>
            </w:r>
            <w:proofErr w:type="spellStart"/>
            <w:r w:rsidRPr="008C2843">
              <w:rPr>
                <w:bCs/>
                <w:color w:val="365F91"/>
              </w:rPr>
              <w:t>other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support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surfaces</w:t>
            </w:r>
            <w:proofErr w:type="spellEnd"/>
            <w:r w:rsidRPr="008C2843">
              <w:rPr>
                <w:bCs/>
                <w:color w:val="365F91"/>
              </w:rPr>
              <w:t xml:space="preserve">, </w:t>
            </w:r>
            <w:proofErr w:type="spellStart"/>
            <w:r w:rsidRPr="008C2843">
              <w:rPr>
                <w:bCs/>
                <w:color w:val="365F91"/>
              </w:rPr>
              <w:t>including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more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advanced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dynamic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support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surfaces</w:t>
            </w:r>
            <w:proofErr w:type="spellEnd"/>
            <w:r w:rsidRPr="008C2843">
              <w:rPr>
                <w:bCs/>
                <w:color w:val="365F91"/>
              </w:rPr>
              <w:t xml:space="preserve">, </w:t>
            </w:r>
            <w:proofErr w:type="spellStart"/>
            <w:r w:rsidRPr="008C2843">
              <w:rPr>
                <w:bCs/>
                <w:color w:val="365F91"/>
              </w:rPr>
              <w:t>was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limited</w:t>
            </w:r>
            <w:proofErr w:type="spellEnd"/>
            <w:r w:rsidRPr="008C2843">
              <w:rPr>
                <w:bCs/>
                <w:color w:val="365F91"/>
              </w:rPr>
              <w:t xml:space="preserve">, </w:t>
            </w:r>
            <w:proofErr w:type="spellStart"/>
            <w:r w:rsidRPr="008C2843">
              <w:rPr>
                <w:bCs/>
                <w:color w:val="365F91"/>
              </w:rPr>
              <w:t>with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some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trials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showing</w:t>
            </w:r>
            <w:proofErr w:type="spellEnd"/>
            <w:r w:rsidRPr="008C2843">
              <w:rPr>
                <w:bCs/>
                <w:color w:val="365F91"/>
              </w:rPr>
              <w:t xml:space="preserve"> no </w:t>
            </w:r>
            <w:proofErr w:type="spellStart"/>
            <w:r w:rsidRPr="008C2843">
              <w:rPr>
                <w:bCs/>
                <w:color w:val="365F91"/>
              </w:rPr>
              <w:t>clear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differences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between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dynamic</w:t>
            </w:r>
            <w:proofErr w:type="spellEnd"/>
            <w:r w:rsidRPr="008C2843">
              <w:rPr>
                <w:bCs/>
                <w:color w:val="365F91"/>
              </w:rPr>
              <w:t xml:space="preserve"> and </w:t>
            </w:r>
            <w:proofErr w:type="spellStart"/>
            <w:r w:rsidRPr="008C2843">
              <w:rPr>
                <w:bCs/>
                <w:color w:val="365F91"/>
              </w:rPr>
              <w:t>static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support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surfaces</w:t>
            </w:r>
            <w:proofErr w:type="spellEnd"/>
            <w:r w:rsidRPr="008C2843">
              <w:rPr>
                <w:bCs/>
                <w:color w:val="365F91"/>
              </w:rPr>
              <w:t xml:space="preserve">. </w:t>
            </w:r>
            <w:proofErr w:type="spellStart"/>
            <w:r w:rsidRPr="008C2843">
              <w:rPr>
                <w:bCs/>
                <w:color w:val="365F91"/>
              </w:rPr>
              <w:t>One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fair-quality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trial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found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that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stepped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care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with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dynamic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support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surfaces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was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associated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with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substantially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decreased</w:t>
            </w:r>
            <w:proofErr w:type="spellEnd"/>
            <w:r w:rsidRPr="008C2843">
              <w:rPr>
                <w:bCs/>
                <w:color w:val="365F91"/>
              </w:rPr>
              <w:t xml:space="preserve"> risk of </w:t>
            </w:r>
            <w:proofErr w:type="spellStart"/>
            <w:r w:rsidRPr="008C2843">
              <w:rPr>
                <w:bCs/>
                <w:color w:val="365F91"/>
              </w:rPr>
              <w:t>ulcers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compared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with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stepped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care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beginning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with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static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support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surfaces</w:t>
            </w:r>
            <w:proofErr w:type="spellEnd"/>
            <w:r w:rsidRPr="008C2843">
              <w:rPr>
                <w:bCs/>
                <w:color w:val="365F91"/>
              </w:rPr>
              <w:t xml:space="preserve">. </w:t>
            </w:r>
            <w:proofErr w:type="spellStart"/>
            <w:r w:rsidRPr="008C2843">
              <w:rPr>
                <w:bCs/>
                <w:color w:val="365F91"/>
              </w:rPr>
              <w:t>In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lower</w:t>
            </w:r>
            <w:proofErr w:type="spellEnd"/>
            <w:r w:rsidRPr="008C2843">
              <w:rPr>
                <w:bCs/>
                <w:color w:val="365F91"/>
              </w:rPr>
              <w:t xml:space="preserve"> risk </w:t>
            </w:r>
            <w:proofErr w:type="spellStart"/>
            <w:r w:rsidRPr="008C2843">
              <w:rPr>
                <w:bCs/>
                <w:color w:val="365F91"/>
              </w:rPr>
              <w:t>populations</w:t>
            </w:r>
            <w:proofErr w:type="spellEnd"/>
            <w:r w:rsidRPr="008C2843">
              <w:rPr>
                <w:bCs/>
                <w:color w:val="365F91"/>
              </w:rPr>
              <w:t xml:space="preserve"> of </w:t>
            </w:r>
            <w:proofErr w:type="spellStart"/>
            <w:r w:rsidRPr="008C2843">
              <w:rPr>
                <w:bCs/>
                <w:color w:val="365F91"/>
              </w:rPr>
              <w:t>patients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undergoing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surgery</w:t>
            </w:r>
            <w:proofErr w:type="spellEnd"/>
            <w:r w:rsidRPr="008C2843">
              <w:rPr>
                <w:bCs/>
                <w:color w:val="365F91"/>
              </w:rPr>
              <w:t xml:space="preserve">, </w:t>
            </w:r>
            <w:proofErr w:type="spellStart"/>
            <w:r w:rsidRPr="008C2843">
              <w:rPr>
                <w:bCs/>
                <w:color w:val="365F91"/>
              </w:rPr>
              <w:t>two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trials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found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use</w:t>
            </w:r>
            <w:proofErr w:type="spellEnd"/>
            <w:r w:rsidRPr="008C2843">
              <w:rPr>
                <w:bCs/>
                <w:color w:val="365F91"/>
              </w:rPr>
              <w:t xml:space="preserve"> of a </w:t>
            </w:r>
            <w:proofErr w:type="spellStart"/>
            <w:r w:rsidRPr="008C2843">
              <w:rPr>
                <w:bCs/>
                <w:color w:val="365F91"/>
              </w:rPr>
              <w:t>foam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overlay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associated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with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an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increased</w:t>
            </w:r>
            <w:proofErr w:type="spellEnd"/>
            <w:r w:rsidRPr="008C2843">
              <w:rPr>
                <w:bCs/>
                <w:color w:val="365F91"/>
              </w:rPr>
              <w:t xml:space="preserve"> risk of </w:t>
            </w:r>
            <w:proofErr w:type="spellStart"/>
            <w:r w:rsidRPr="008C2843">
              <w:rPr>
                <w:bCs/>
                <w:color w:val="365F91"/>
              </w:rPr>
              <w:t>pressure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ulcers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compared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with</w:t>
            </w:r>
            <w:proofErr w:type="spellEnd"/>
            <w:r w:rsidRPr="008C2843">
              <w:rPr>
                <w:bCs/>
                <w:color w:val="365F91"/>
              </w:rPr>
              <w:t xml:space="preserve"> a standard </w:t>
            </w:r>
            <w:proofErr w:type="spellStart"/>
            <w:r w:rsidRPr="008C2843">
              <w:rPr>
                <w:bCs/>
                <w:color w:val="365F91"/>
              </w:rPr>
              <w:t>operating</w:t>
            </w:r>
            <w:proofErr w:type="spellEnd"/>
            <w:r w:rsidRPr="008C2843">
              <w:rPr>
                <w:bCs/>
                <w:color w:val="365F91"/>
              </w:rPr>
              <w:t xml:space="preserve"> room </w:t>
            </w:r>
            <w:proofErr w:type="spellStart"/>
            <w:r w:rsidRPr="008C2843">
              <w:rPr>
                <w:bCs/>
                <w:color w:val="365F91"/>
              </w:rPr>
              <w:t>mattress</w:t>
            </w:r>
            <w:proofErr w:type="spellEnd"/>
            <w:r w:rsidRPr="008C2843">
              <w:rPr>
                <w:bCs/>
                <w:color w:val="365F91"/>
              </w:rPr>
              <w:t xml:space="preserve">. </w:t>
            </w:r>
            <w:proofErr w:type="spellStart"/>
            <w:r w:rsidRPr="008C2843">
              <w:rPr>
                <w:bCs/>
                <w:color w:val="365F91"/>
              </w:rPr>
              <w:t>Evidence</w:t>
            </w:r>
            <w:proofErr w:type="spellEnd"/>
            <w:r w:rsidRPr="008C2843">
              <w:rPr>
                <w:bCs/>
                <w:color w:val="365F91"/>
              </w:rPr>
              <w:t xml:space="preserve"> on </w:t>
            </w:r>
            <w:proofErr w:type="spellStart"/>
            <w:r w:rsidRPr="008C2843">
              <w:rPr>
                <w:bCs/>
                <w:color w:val="365F91"/>
              </w:rPr>
              <w:t>effectiveness</w:t>
            </w:r>
            <w:proofErr w:type="spellEnd"/>
            <w:r w:rsidRPr="008C2843">
              <w:rPr>
                <w:bCs/>
                <w:color w:val="365F91"/>
              </w:rPr>
              <w:t xml:space="preserve"> of </w:t>
            </w:r>
            <w:proofErr w:type="spellStart"/>
            <w:r w:rsidRPr="008C2843">
              <w:rPr>
                <w:bCs/>
                <w:color w:val="365F91"/>
              </w:rPr>
              <w:t>other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preventive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interventions</w:t>
            </w:r>
            <w:proofErr w:type="spellEnd"/>
            <w:r w:rsidRPr="008C2843">
              <w:rPr>
                <w:bCs/>
                <w:color w:val="365F91"/>
              </w:rPr>
              <w:t xml:space="preserve"> (</w:t>
            </w:r>
            <w:proofErr w:type="spellStart"/>
            <w:r w:rsidRPr="008C2843">
              <w:rPr>
                <w:bCs/>
                <w:color w:val="365F91"/>
              </w:rPr>
              <w:t>nutritional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supplementation</w:t>
            </w:r>
            <w:proofErr w:type="spellEnd"/>
            <w:r w:rsidRPr="008C2843">
              <w:rPr>
                <w:bCs/>
                <w:color w:val="365F91"/>
              </w:rPr>
              <w:t xml:space="preserve">; </w:t>
            </w:r>
            <w:proofErr w:type="spellStart"/>
            <w:r w:rsidRPr="008C2843">
              <w:rPr>
                <w:bCs/>
                <w:color w:val="365F91"/>
              </w:rPr>
              <w:t>repositioning</w:t>
            </w:r>
            <w:proofErr w:type="spellEnd"/>
            <w:r w:rsidRPr="008C2843">
              <w:rPr>
                <w:bCs/>
                <w:color w:val="365F91"/>
              </w:rPr>
              <w:t xml:space="preserve">; </w:t>
            </w:r>
            <w:proofErr w:type="spellStart"/>
            <w:r w:rsidRPr="008C2843">
              <w:rPr>
                <w:bCs/>
                <w:color w:val="365F91"/>
              </w:rPr>
              <w:t>pads</w:t>
            </w:r>
            <w:proofErr w:type="spellEnd"/>
            <w:r w:rsidRPr="008C2843">
              <w:rPr>
                <w:bCs/>
                <w:color w:val="365F91"/>
              </w:rPr>
              <w:t xml:space="preserve"> and </w:t>
            </w:r>
            <w:proofErr w:type="spellStart"/>
            <w:r w:rsidRPr="008C2843">
              <w:rPr>
                <w:bCs/>
                <w:color w:val="365F91"/>
              </w:rPr>
              <w:t>dressings</w:t>
            </w:r>
            <w:proofErr w:type="spellEnd"/>
            <w:r w:rsidRPr="008C2843">
              <w:rPr>
                <w:bCs/>
                <w:color w:val="365F91"/>
              </w:rPr>
              <w:t xml:space="preserve">; </w:t>
            </w:r>
            <w:proofErr w:type="spellStart"/>
            <w:r w:rsidRPr="008C2843">
              <w:rPr>
                <w:bCs/>
                <w:color w:val="365F91"/>
              </w:rPr>
              <w:t>lotions</w:t>
            </w:r>
            <w:proofErr w:type="spellEnd"/>
            <w:r w:rsidRPr="008C2843">
              <w:rPr>
                <w:bCs/>
                <w:color w:val="365F91"/>
              </w:rPr>
              <w:t xml:space="preserve">, </w:t>
            </w:r>
            <w:proofErr w:type="spellStart"/>
            <w:r w:rsidRPr="008C2843">
              <w:rPr>
                <w:bCs/>
                <w:color w:val="365F91"/>
              </w:rPr>
              <w:t>creams</w:t>
            </w:r>
            <w:proofErr w:type="spellEnd"/>
            <w:r w:rsidRPr="008C2843">
              <w:rPr>
                <w:bCs/>
                <w:color w:val="365F91"/>
              </w:rPr>
              <w:t xml:space="preserve">, and </w:t>
            </w:r>
            <w:proofErr w:type="spellStart"/>
            <w:r w:rsidRPr="008C2843">
              <w:rPr>
                <w:bCs/>
                <w:color w:val="365F91"/>
              </w:rPr>
              <w:t>cleansers</w:t>
            </w:r>
            <w:proofErr w:type="spellEnd"/>
            <w:r w:rsidRPr="008C2843">
              <w:rPr>
                <w:bCs/>
                <w:color w:val="365F91"/>
              </w:rPr>
              <w:t xml:space="preserve">; </w:t>
            </w:r>
            <w:proofErr w:type="spellStart"/>
            <w:r w:rsidRPr="008C2843">
              <w:rPr>
                <w:bCs/>
                <w:color w:val="365F91"/>
              </w:rPr>
              <w:t>corticotropin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injections</w:t>
            </w:r>
            <w:proofErr w:type="spellEnd"/>
            <w:r w:rsidRPr="008C2843">
              <w:rPr>
                <w:bCs/>
                <w:color w:val="365F91"/>
              </w:rPr>
              <w:t xml:space="preserve">; </w:t>
            </w:r>
            <w:proofErr w:type="spellStart"/>
            <w:r w:rsidRPr="008C2843">
              <w:rPr>
                <w:bCs/>
                <w:color w:val="365F91"/>
              </w:rPr>
              <w:t>polarized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light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therapy</w:t>
            </w:r>
            <w:proofErr w:type="spellEnd"/>
            <w:r w:rsidRPr="008C2843">
              <w:rPr>
                <w:bCs/>
                <w:color w:val="365F91"/>
              </w:rPr>
              <w:t xml:space="preserve">; and </w:t>
            </w:r>
            <w:proofErr w:type="spellStart"/>
            <w:r w:rsidRPr="008C2843">
              <w:rPr>
                <w:bCs/>
                <w:color w:val="365F91"/>
              </w:rPr>
              <w:t>intraoperative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warming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therapy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for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patients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undergoing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surgery</w:t>
            </w:r>
            <w:proofErr w:type="spellEnd"/>
            <w:r w:rsidRPr="008C2843">
              <w:rPr>
                <w:bCs/>
                <w:color w:val="365F91"/>
              </w:rPr>
              <w:t xml:space="preserve">) </w:t>
            </w:r>
            <w:proofErr w:type="spellStart"/>
            <w:r w:rsidRPr="008C2843">
              <w:rPr>
                <w:bCs/>
                <w:color w:val="365F91"/>
              </w:rPr>
              <w:t>compared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with</w:t>
            </w:r>
            <w:proofErr w:type="spellEnd"/>
            <w:r w:rsidRPr="008C2843">
              <w:rPr>
                <w:bCs/>
                <w:color w:val="365F91"/>
              </w:rPr>
              <w:t xml:space="preserve"> standard </w:t>
            </w:r>
            <w:proofErr w:type="spellStart"/>
            <w:r w:rsidRPr="008C2843">
              <w:rPr>
                <w:bCs/>
                <w:color w:val="365F91"/>
              </w:rPr>
              <w:t>care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was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sparse</w:t>
            </w:r>
            <w:proofErr w:type="spellEnd"/>
            <w:r w:rsidRPr="008C2843">
              <w:rPr>
                <w:bCs/>
                <w:color w:val="365F91"/>
              </w:rPr>
              <w:t xml:space="preserve"> and </w:t>
            </w:r>
            <w:proofErr w:type="spellStart"/>
            <w:r w:rsidRPr="008C2843">
              <w:rPr>
                <w:bCs/>
                <w:color w:val="365F91"/>
              </w:rPr>
              <w:t>insufficient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to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reach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reliable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conclusions</w:t>
            </w:r>
            <w:proofErr w:type="spellEnd"/>
            <w:r w:rsidRPr="008C2843">
              <w:rPr>
                <w:bCs/>
                <w:color w:val="365F91"/>
              </w:rPr>
              <w:t>.</w:t>
            </w:r>
          </w:p>
          <w:p w:rsidR="008C2843" w:rsidRPr="008C2843" w:rsidRDefault="008C2843" w:rsidP="008C2843">
            <w:pPr>
              <w:rPr>
                <w:bCs/>
                <w:color w:val="365F91"/>
              </w:rPr>
            </w:pPr>
          </w:p>
          <w:p w:rsidR="008C2843" w:rsidRPr="008C2843" w:rsidRDefault="008C2843" w:rsidP="008C2843">
            <w:pPr>
              <w:rPr>
                <w:bCs/>
                <w:color w:val="365F91"/>
              </w:rPr>
            </w:pPr>
            <w:proofErr w:type="spellStart"/>
            <w:r w:rsidRPr="008C2843">
              <w:rPr>
                <w:bCs/>
                <w:color w:val="365F91"/>
              </w:rPr>
              <w:t>Conclusions</w:t>
            </w:r>
            <w:proofErr w:type="spellEnd"/>
            <w:r w:rsidRPr="008C2843">
              <w:rPr>
                <w:bCs/>
                <w:color w:val="365F91"/>
              </w:rPr>
              <w:t>:</w:t>
            </w:r>
          </w:p>
          <w:p w:rsidR="008C2843" w:rsidRPr="008C2843" w:rsidRDefault="008C2843" w:rsidP="008C2843">
            <w:pPr>
              <w:rPr>
                <w:bCs/>
                <w:color w:val="365F91"/>
              </w:rPr>
            </w:pPr>
          </w:p>
          <w:p w:rsidR="008C2843" w:rsidRPr="008C2843" w:rsidRDefault="008C2843" w:rsidP="008C2843">
            <w:pPr>
              <w:rPr>
                <w:bCs/>
                <w:color w:val="365F91"/>
              </w:rPr>
            </w:pPr>
            <w:proofErr w:type="spellStart"/>
            <w:r w:rsidRPr="008C2843">
              <w:rPr>
                <w:bCs/>
                <w:color w:val="365F91"/>
              </w:rPr>
              <w:t>Although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risk-assessment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instruments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can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identify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patients</w:t>
            </w:r>
            <w:proofErr w:type="spellEnd"/>
            <w:r w:rsidRPr="008C2843">
              <w:rPr>
                <w:bCs/>
                <w:color w:val="365F91"/>
              </w:rPr>
              <w:t xml:space="preserve"> at </w:t>
            </w:r>
            <w:proofErr w:type="spellStart"/>
            <w:r w:rsidRPr="008C2843">
              <w:rPr>
                <w:bCs/>
                <w:color w:val="365F91"/>
              </w:rPr>
              <w:t>higher</w:t>
            </w:r>
            <w:proofErr w:type="spellEnd"/>
            <w:r w:rsidRPr="008C2843">
              <w:rPr>
                <w:bCs/>
                <w:color w:val="365F91"/>
              </w:rPr>
              <w:t xml:space="preserve"> risk </w:t>
            </w:r>
            <w:proofErr w:type="spellStart"/>
            <w:r w:rsidRPr="008C2843">
              <w:rPr>
                <w:bCs/>
                <w:color w:val="365F91"/>
              </w:rPr>
              <w:t>for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pressure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ulcers</w:t>
            </w:r>
            <w:proofErr w:type="spellEnd"/>
            <w:r w:rsidRPr="008C2843">
              <w:rPr>
                <w:bCs/>
                <w:color w:val="365F91"/>
              </w:rPr>
              <w:t xml:space="preserve">, </w:t>
            </w:r>
            <w:proofErr w:type="spellStart"/>
            <w:r w:rsidRPr="008C2843">
              <w:rPr>
                <w:bCs/>
                <w:color w:val="365F91"/>
              </w:rPr>
              <w:t>more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research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is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needed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to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understand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how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the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use</w:t>
            </w:r>
            <w:proofErr w:type="spellEnd"/>
            <w:r w:rsidRPr="008C2843">
              <w:rPr>
                <w:bCs/>
                <w:color w:val="365F91"/>
              </w:rPr>
              <w:t xml:space="preserve"> of </w:t>
            </w:r>
            <w:proofErr w:type="spellStart"/>
            <w:r w:rsidRPr="008C2843">
              <w:rPr>
                <w:bCs/>
                <w:color w:val="365F91"/>
              </w:rPr>
              <w:t>risk-assessment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instruments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impacts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pressure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ulcer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incidence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compared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with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clinical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judgment</w:t>
            </w:r>
            <w:proofErr w:type="spellEnd"/>
            <w:r w:rsidRPr="008C2843">
              <w:rPr>
                <w:bCs/>
                <w:color w:val="365F91"/>
              </w:rPr>
              <w:t xml:space="preserve">. </w:t>
            </w:r>
            <w:proofErr w:type="spellStart"/>
            <w:r w:rsidRPr="008C2843">
              <w:rPr>
                <w:bCs/>
                <w:color w:val="365F91"/>
              </w:rPr>
              <w:t>More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advanced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static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support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surfaces</w:t>
            </w:r>
            <w:proofErr w:type="spellEnd"/>
            <w:r w:rsidRPr="008C2843">
              <w:rPr>
                <w:bCs/>
                <w:color w:val="365F91"/>
              </w:rPr>
              <w:t xml:space="preserve"> are </w:t>
            </w:r>
            <w:proofErr w:type="spellStart"/>
            <w:r w:rsidRPr="008C2843">
              <w:rPr>
                <w:bCs/>
                <w:color w:val="365F91"/>
              </w:rPr>
              <w:t>more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effective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than</w:t>
            </w:r>
            <w:proofErr w:type="spellEnd"/>
            <w:r w:rsidRPr="008C2843">
              <w:rPr>
                <w:bCs/>
                <w:color w:val="365F91"/>
              </w:rPr>
              <w:t xml:space="preserve"> standard </w:t>
            </w:r>
            <w:proofErr w:type="spellStart"/>
            <w:r w:rsidRPr="008C2843">
              <w:rPr>
                <w:bCs/>
                <w:color w:val="365F91"/>
              </w:rPr>
              <w:t>mattresses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for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preventing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ulcers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in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higher</w:t>
            </w:r>
            <w:proofErr w:type="spellEnd"/>
            <w:r w:rsidRPr="008C2843">
              <w:rPr>
                <w:bCs/>
                <w:color w:val="365F91"/>
              </w:rPr>
              <w:t xml:space="preserve"> risk </w:t>
            </w:r>
            <w:proofErr w:type="spellStart"/>
            <w:r w:rsidRPr="008C2843">
              <w:rPr>
                <w:bCs/>
                <w:color w:val="365F91"/>
              </w:rPr>
              <w:t>populations</w:t>
            </w:r>
            <w:proofErr w:type="spellEnd"/>
            <w:r w:rsidRPr="008C2843">
              <w:rPr>
                <w:bCs/>
                <w:color w:val="365F91"/>
              </w:rPr>
              <w:t xml:space="preserve">. </w:t>
            </w:r>
            <w:proofErr w:type="spellStart"/>
            <w:r w:rsidRPr="008C2843">
              <w:rPr>
                <w:bCs/>
                <w:color w:val="365F91"/>
              </w:rPr>
              <w:t>More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research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is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needed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to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understand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the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effectiveness</w:t>
            </w:r>
            <w:proofErr w:type="spellEnd"/>
            <w:r w:rsidRPr="008C2843">
              <w:rPr>
                <w:bCs/>
                <w:color w:val="365F91"/>
              </w:rPr>
              <w:t xml:space="preserve"> of </w:t>
            </w:r>
            <w:proofErr w:type="spellStart"/>
            <w:r w:rsidRPr="008C2843">
              <w:rPr>
                <w:bCs/>
                <w:color w:val="365F91"/>
              </w:rPr>
              <w:t>other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preventive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interventions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over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usual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care</w:t>
            </w:r>
            <w:proofErr w:type="spellEnd"/>
            <w:r w:rsidRPr="008C2843">
              <w:rPr>
                <w:bCs/>
                <w:color w:val="365F91"/>
              </w:rPr>
              <w:t xml:space="preserve"> and </w:t>
            </w:r>
            <w:proofErr w:type="spellStart"/>
            <w:r w:rsidRPr="008C2843">
              <w:rPr>
                <w:bCs/>
                <w:color w:val="365F91"/>
              </w:rPr>
              <w:t>the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comparative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effectiveness</w:t>
            </w:r>
            <w:proofErr w:type="spellEnd"/>
            <w:r w:rsidRPr="008C2843">
              <w:rPr>
                <w:bCs/>
                <w:color w:val="365F91"/>
              </w:rPr>
              <w:t xml:space="preserve"> of </w:t>
            </w:r>
            <w:proofErr w:type="spellStart"/>
            <w:r w:rsidRPr="008C2843">
              <w:rPr>
                <w:bCs/>
                <w:color w:val="365F91"/>
              </w:rPr>
              <w:t>preventive</w:t>
            </w:r>
            <w:proofErr w:type="spellEnd"/>
            <w:r w:rsidRPr="008C2843">
              <w:rPr>
                <w:bCs/>
                <w:color w:val="365F91"/>
              </w:rPr>
              <w:t xml:space="preserve"> </w:t>
            </w:r>
            <w:proofErr w:type="spellStart"/>
            <w:r w:rsidRPr="008C2843">
              <w:rPr>
                <w:bCs/>
                <w:color w:val="365F91"/>
              </w:rPr>
              <w:t>interventions</w:t>
            </w:r>
            <w:proofErr w:type="spellEnd"/>
            <w:r w:rsidRPr="008C2843">
              <w:rPr>
                <w:bCs/>
                <w:color w:val="365F91"/>
              </w:rPr>
              <w:t>.</w:t>
            </w:r>
          </w:p>
        </w:tc>
        <w:tc>
          <w:tcPr>
            <w:tcW w:w="3096" w:type="dxa"/>
            <w:shd w:val="clear" w:color="auto" w:fill="auto"/>
          </w:tcPr>
          <w:p w:rsidR="008C2843" w:rsidRPr="008C2843" w:rsidRDefault="008C2843" w:rsidP="008C2843">
            <w:pPr>
              <w:rPr>
                <w:color w:val="365F91"/>
              </w:rPr>
            </w:pPr>
            <w:proofErr w:type="spellStart"/>
            <w:r w:rsidRPr="008C2843">
              <w:rPr>
                <w:color w:val="365F91"/>
              </w:rPr>
              <w:lastRenderedPageBreak/>
              <w:t>Chou</w:t>
            </w:r>
            <w:proofErr w:type="spellEnd"/>
            <w:r w:rsidRPr="008C2843">
              <w:rPr>
                <w:color w:val="365F91"/>
              </w:rPr>
              <w:t xml:space="preserve"> R , </w:t>
            </w:r>
            <w:proofErr w:type="spellStart"/>
            <w:r w:rsidRPr="008C2843">
              <w:rPr>
                <w:color w:val="365F91"/>
              </w:rPr>
              <w:t>Dana</w:t>
            </w:r>
            <w:proofErr w:type="spellEnd"/>
            <w:r w:rsidRPr="008C2843">
              <w:rPr>
                <w:color w:val="365F91"/>
              </w:rPr>
              <w:t xml:space="preserve"> T, </w:t>
            </w:r>
            <w:proofErr w:type="spellStart"/>
            <w:r w:rsidRPr="008C2843">
              <w:rPr>
                <w:color w:val="365F91"/>
              </w:rPr>
              <w:t>Bougatsos</w:t>
            </w:r>
            <w:proofErr w:type="spellEnd"/>
            <w:r w:rsidRPr="008C2843">
              <w:rPr>
                <w:color w:val="365F91"/>
              </w:rPr>
              <w:t xml:space="preserve"> C, </w:t>
            </w:r>
            <w:proofErr w:type="spellStart"/>
            <w:r w:rsidRPr="008C2843">
              <w:rPr>
                <w:color w:val="365F91"/>
              </w:rPr>
              <w:t>Blazina</w:t>
            </w:r>
            <w:proofErr w:type="spellEnd"/>
            <w:r w:rsidRPr="008C2843">
              <w:rPr>
                <w:color w:val="365F91"/>
              </w:rPr>
              <w:t xml:space="preserve"> I, </w:t>
            </w:r>
            <w:proofErr w:type="spellStart"/>
            <w:r w:rsidRPr="008C2843">
              <w:rPr>
                <w:color w:val="365F91"/>
              </w:rPr>
              <w:t>Starmer</w:t>
            </w:r>
            <w:proofErr w:type="spellEnd"/>
            <w:r w:rsidRPr="008C2843">
              <w:rPr>
                <w:color w:val="365F91"/>
              </w:rPr>
              <w:t xml:space="preserve"> A, Reitel K, </w:t>
            </w:r>
            <w:proofErr w:type="spellStart"/>
            <w:r w:rsidRPr="008C2843">
              <w:rPr>
                <w:color w:val="365F91"/>
              </w:rPr>
              <w:t>Buckley</w:t>
            </w:r>
            <w:proofErr w:type="spellEnd"/>
            <w:r w:rsidRPr="008C2843">
              <w:rPr>
                <w:color w:val="365F91"/>
              </w:rPr>
              <w:t xml:space="preserve"> D. </w:t>
            </w:r>
            <w:proofErr w:type="spellStart"/>
            <w:r w:rsidRPr="008C2843">
              <w:rPr>
                <w:color w:val="365F91"/>
              </w:rPr>
              <w:t>Pressure</w:t>
            </w:r>
            <w:proofErr w:type="spellEnd"/>
            <w:r w:rsidRPr="008C2843">
              <w:rPr>
                <w:color w:val="365F91"/>
              </w:rPr>
              <w:t xml:space="preserve"> </w:t>
            </w:r>
            <w:proofErr w:type="spellStart"/>
            <w:r w:rsidRPr="008C2843">
              <w:rPr>
                <w:color w:val="365F91"/>
              </w:rPr>
              <w:t>Ulcer</w:t>
            </w:r>
            <w:proofErr w:type="spellEnd"/>
            <w:r w:rsidRPr="008C2843">
              <w:rPr>
                <w:color w:val="365F91"/>
              </w:rPr>
              <w:t xml:space="preserve"> Risk </w:t>
            </w:r>
            <w:proofErr w:type="spellStart"/>
            <w:r w:rsidRPr="008C2843">
              <w:rPr>
                <w:color w:val="365F91"/>
              </w:rPr>
              <w:t>Assessment</w:t>
            </w:r>
            <w:proofErr w:type="spellEnd"/>
            <w:r w:rsidRPr="008C2843">
              <w:rPr>
                <w:color w:val="365F91"/>
              </w:rPr>
              <w:t xml:space="preserve"> and </w:t>
            </w:r>
            <w:proofErr w:type="spellStart"/>
            <w:r w:rsidRPr="008C2843">
              <w:rPr>
                <w:color w:val="365F91"/>
              </w:rPr>
              <w:t>Prevention</w:t>
            </w:r>
            <w:proofErr w:type="spellEnd"/>
            <w:r w:rsidRPr="008C2843">
              <w:rPr>
                <w:color w:val="365F91"/>
              </w:rPr>
              <w:t xml:space="preserve">: </w:t>
            </w:r>
            <w:proofErr w:type="spellStart"/>
            <w:r w:rsidRPr="008C2843">
              <w:rPr>
                <w:color w:val="365F91"/>
              </w:rPr>
              <w:t>Comparative</w:t>
            </w:r>
            <w:proofErr w:type="spellEnd"/>
            <w:r w:rsidRPr="008C2843">
              <w:rPr>
                <w:color w:val="365F91"/>
              </w:rPr>
              <w:t xml:space="preserve"> </w:t>
            </w:r>
            <w:proofErr w:type="spellStart"/>
            <w:r w:rsidRPr="008C2843">
              <w:rPr>
                <w:color w:val="365F91"/>
              </w:rPr>
              <w:t>Effectiveness</w:t>
            </w:r>
            <w:proofErr w:type="spellEnd"/>
            <w:r w:rsidRPr="008C2843">
              <w:rPr>
                <w:color w:val="365F91"/>
              </w:rPr>
              <w:t xml:space="preserve">. </w:t>
            </w:r>
            <w:proofErr w:type="spellStart"/>
            <w:r w:rsidRPr="008C2843">
              <w:rPr>
                <w:color w:val="365F91"/>
              </w:rPr>
              <w:t>Agency</w:t>
            </w:r>
            <w:proofErr w:type="spellEnd"/>
            <w:r w:rsidRPr="008C2843">
              <w:rPr>
                <w:color w:val="365F91"/>
              </w:rPr>
              <w:t xml:space="preserve"> </w:t>
            </w:r>
            <w:proofErr w:type="spellStart"/>
            <w:r w:rsidRPr="008C2843">
              <w:rPr>
                <w:color w:val="365F91"/>
              </w:rPr>
              <w:t>for</w:t>
            </w:r>
            <w:proofErr w:type="spellEnd"/>
            <w:r w:rsidRPr="008C2843">
              <w:rPr>
                <w:color w:val="365F91"/>
              </w:rPr>
              <w:t xml:space="preserve"> </w:t>
            </w:r>
            <w:proofErr w:type="spellStart"/>
            <w:r w:rsidRPr="008C2843">
              <w:rPr>
                <w:color w:val="365F91"/>
              </w:rPr>
              <w:t>Health</w:t>
            </w:r>
            <w:proofErr w:type="spellEnd"/>
            <w:r w:rsidRPr="008C2843">
              <w:rPr>
                <w:color w:val="365F91"/>
              </w:rPr>
              <w:t xml:space="preserve"> </w:t>
            </w:r>
            <w:proofErr w:type="spellStart"/>
            <w:r w:rsidRPr="008C2843">
              <w:rPr>
                <w:color w:val="365F91"/>
              </w:rPr>
              <w:t>Care</w:t>
            </w:r>
            <w:proofErr w:type="spellEnd"/>
            <w:r w:rsidRPr="008C2843">
              <w:rPr>
                <w:color w:val="365F91"/>
              </w:rPr>
              <w:t xml:space="preserve"> </w:t>
            </w:r>
            <w:proofErr w:type="spellStart"/>
            <w:r w:rsidRPr="008C2843">
              <w:rPr>
                <w:color w:val="365F91"/>
              </w:rPr>
              <w:t>Research</w:t>
            </w:r>
            <w:proofErr w:type="spellEnd"/>
            <w:r w:rsidRPr="008C2843">
              <w:rPr>
                <w:color w:val="365F91"/>
              </w:rPr>
              <w:t xml:space="preserve"> and </w:t>
            </w:r>
            <w:proofErr w:type="spellStart"/>
            <w:r w:rsidRPr="008C2843">
              <w:rPr>
                <w:color w:val="365F91"/>
              </w:rPr>
              <w:t>Quality</w:t>
            </w:r>
            <w:proofErr w:type="spellEnd"/>
            <w:r w:rsidRPr="008C2843">
              <w:rPr>
                <w:color w:val="365F91"/>
              </w:rPr>
              <w:t xml:space="preserve"> </w:t>
            </w:r>
            <w:proofErr w:type="spellStart"/>
            <w:r w:rsidRPr="008C2843">
              <w:rPr>
                <w:color w:val="365F91"/>
              </w:rPr>
              <w:t>Comparative</w:t>
            </w:r>
            <w:proofErr w:type="spellEnd"/>
            <w:r w:rsidRPr="008C2843">
              <w:rPr>
                <w:color w:val="365F91"/>
              </w:rPr>
              <w:t xml:space="preserve"> </w:t>
            </w:r>
            <w:proofErr w:type="spellStart"/>
            <w:r w:rsidRPr="008C2843">
              <w:rPr>
                <w:color w:val="365F91"/>
              </w:rPr>
              <w:t>Effectiveness</w:t>
            </w:r>
            <w:proofErr w:type="spellEnd"/>
            <w:r w:rsidRPr="008C2843">
              <w:rPr>
                <w:color w:val="365F91"/>
              </w:rPr>
              <w:t xml:space="preserve"> </w:t>
            </w:r>
            <w:proofErr w:type="spellStart"/>
            <w:r w:rsidRPr="008C2843">
              <w:rPr>
                <w:color w:val="365F91"/>
              </w:rPr>
              <w:t>Review</w:t>
            </w:r>
            <w:proofErr w:type="spellEnd"/>
            <w:r w:rsidRPr="008C2843">
              <w:rPr>
                <w:color w:val="365F91"/>
              </w:rPr>
              <w:t xml:space="preserve"> No. 87. 2013 </w:t>
            </w:r>
          </w:p>
          <w:p w:rsidR="008C2843" w:rsidRPr="008C2843" w:rsidRDefault="008C2843" w:rsidP="008C2843">
            <w:pPr>
              <w:rPr>
                <w:color w:val="365F91"/>
              </w:rPr>
            </w:pPr>
          </w:p>
          <w:p w:rsidR="008C2843" w:rsidRPr="008C2843" w:rsidRDefault="008C2843" w:rsidP="00B7328E">
            <w:pPr>
              <w:rPr>
                <w:bCs/>
                <w:color w:val="365F91"/>
              </w:rPr>
            </w:pPr>
          </w:p>
        </w:tc>
      </w:tr>
    </w:tbl>
    <w:p w:rsidR="00B15E35" w:rsidRPr="008C2843" w:rsidRDefault="00B15E35" w:rsidP="00B15E35">
      <w:pPr>
        <w:rPr>
          <w:lang w:val="en-US"/>
        </w:rPr>
      </w:pPr>
    </w:p>
    <w:p w:rsidR="00BD166C" w:rsidRPr="008C2843" w:rsidRDefault="00BD166C"/>
    <w:sectPr w:rsidR="00BD166C" w:rsidRPr="008C2843" w:rsidSect="00B17C28">
      <w:head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EF" w:rsidRDefault="008B01EF">
      <w:r>
        <w:separator/>
      </w:r>
    </w:p>
  </w:endnote>
  <w:endnote w:type="continuationSeparator" w:id="0">
    <w:p w:rsidR="008B01EF" w:rsidRDefault="008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EF" w:rsidRDefault="008B01EF">
      <w:r>
        <w:separator/>
      </w:r>
    </w:p>
  </w:footnote>
  <w:footnote w:type="continuationSeparator" w:id="0">
    <w:p w:rsidR="008B01EF" w:rsidRDefault="008B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28" w:rsidRDefault="00A81D5D">
    <w:pPr>
      <w:pStyle w:val="Pis"/>
    </w:pPr>
    <w:r>
      <w:t>[</w:t>
    </w:r>
    <w:proofErr w:type="spellStart"/>
    <w:r>
      <w:t>Type</w:t>
    </w:r>
    <w:proofErr w:type="spellEnd"/>
    <w:r>
      <w:t xml:space="preserve"> </w:t>
    </w:r>
    <w:proofErr w:type="spellStart"/>
    <w:r>
      <w:t>text</w:t>
    </w:r>
    <w:proofErr w:type="spellEnd"/>
    <w:r>
      <w:t>]</w:t>
    </w:r>
  </w:p>
  <w:p w:rsidR="00B17C28" w:rsidRDefault="00B17C28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28" w:rsidRDefault="00A81D5D">
    <w:pPr>
      <w:pStyle w:val="Pis"/>
    </w:pPr>
    <w:r>
      <w:t>Näidisvorm G</w:t>
    </w:r>
  </w:p>
  <w:p w:rsidR="00B17C28" w:rsidRDefault="00A81D5D">
    <w:pPr>
      <w:pStyle w:val="Pis"/>
    </w:pPr>
    <w:r>
      <w:t>Tõendusmaterjali kokkuvõte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224"/>
    <w:multiLevelType w:val="multilevel"/>
    <w:tmpl w:val="BFDAB6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7987D3E"/>
    <w:multiLevelType w:val="hybridMultilevel"/>
    <w:tmpl w:val="F9FE2AAC"/>
    <w:lvl w:ilvl="0" w:tplc="5BD20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6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42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A0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A1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EB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E3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4A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4F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35"/>
    <w:rsid w:val="00085301"/>
    <w:rsid w:val="00093D2F"/>
    <w:rsid w:val="0012327E"/>
    <w:rsid w:val="00163D8D"/>
    <w:rsid w:val="001749FE"/>
    <w:rsid w:val="001C2D25"/>
    <w:rsid w:val="002B5ACA"/>
    <w:rsid w:val="003551F4"/>
    <w:rsid w:val="00386CB5"/>
    <w:rsid w:val="003D48B2"/>
    <w:rsid w:val="00465DFC"/>
    <w:rsid w:val="00471C6C"/>
    <w:rsid w:val="0048163F"/>
    <w:rsid w:val="00481F14"/>
    <w:rsid w:val="004A7EA6"/>
    <w:rsid w:val="004B5E63"/>
    <w:rsid w:val="004D2A3E"/>
    <w:rsid w:val="00532D63"/>
    <w:rsid w:val="005360DC"/>
    <w:rsid w:val="00577D99"/>
    <w:rsid w:val="005A4501"/>
    <w:rsid w:val="005A5A57"/>
    <w:rsid w:val="006D3B8E"/>
    <w:rsid w:val="00765035"/>
    <w:rsid w:val="007E676A"/>
    <w:rsid w:val="00841D5F"/>
    <w:rsid w:val="008B01EF"/>
    <w:rsid w:val="008C2843"/>
    <w:rsid w:val="008F382A"/>
    <w:rsid w:val="0090114F"/>
    <w:rsid w:val="00A80077"/>
    <w:rsid w:val="00A81D5D"/>
    <w:rsid w:val="00B15E35"/>
    <w:rsid w:val="00B17C28"/>
    <w:rsid w:val="00B86519"/>
    <w:rsid w:val="00BD166C"/>
    <w:rsid w:val="00C4255C"/>
    <w:rsid w:val="00CA1A16"/>
    <w:rsid w:val="00CE2C1C"/>
    <w:rsid w:val="00D15AF7"/>
    <w:rsid w:val="00D347B8"/>
    <w:rsid w:val="00DA3F4F"/>
    <w:rsid w:val="00DF7091"/>
    <w:rsid w:val="00EB1F61"/>
    <w:rsid w:val="00EE4F21"/>
    <w:rsid w:val="00F475C7"/>
    <w:rsid w:val="00F5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1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15E35"/>
    <w:pPr>
      <w:ind w:left="720"/>
      <w:contextualSpacing/>
    </w:pPr>
    <w:rPr>
      <w:lang w:val="en-GB"/>
    </w:rPr>
  </w:style>
  <w:style w:type="paragraph" w:styleId="Normaallaadveeb">
    <w:name w:val="Normal (Web)"/>
    <w:basedOn w:val="Normaallaad"/>
    <w:uiPriority w:val="99"/>
    <w:unhideWhenUsed/>
    <w:rsid w:val="00B15E35"/>
    <w:pPr>
      <w:spacing w:before="100" w:beforeAutospacing="1" w:after="100" w:afterAutospacing="1"/>
    </w:pPr>
  </w:style>
  <w:style w:type="paragraph" w:styleId="Pis">
    <w:name w:val="header"/>
    <w:basedOn w:val="Normaallaad"/>
    <w:link w:val="PisMrk"/>
    <w:uiPriority w:val="99"/>
    <w:rsid w:val="00B15E35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B15E35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765035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41D5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41D5F"/>
    <w:rPr>
      <w:rFonts w:ascii="Tahoma" w:eastAsia="Times New Roman" w:hAnsi="Tahoma" w:cs="Tahoma"/>
      <w:sz w:val="16"/>
      <w:szCs w:val="16"/>
      <w:lang w:eastAsia="et-EE"/>
    </w:rPr>
  </w:style>
  <w:style w:type="table" w:styleId="Kontuurtabel">
    <w:name w:val="Table Grid"/>
    <w:basedOn w:val="Normaaltabel"/>
    <w:uiPriority w:val="59"/>
    <w:rsid w:val="00EB1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1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15E35"/>
    <w:pPr>
      <w:ind w:left="720"/>
      <w:contextualSpacing/>
    </w:pPr>
    <w:rPr>
      <w:lang w:val="en-GB"/>
    </w:rPr>
  </w:style>
  <w:style w:type="paragraph" w:styleId="Normaallaadveeb">
    <w:name w:val="Normal (Web)"/>
    <w:basedOn w:val="Normaallaad"/>
    <w:uiPriority w:val="99"/>
    <w:unhideWhenUsed/>
    <w:rsid w:val="00B15E35"/>
    <w:pPr>
      <w:spacing w:before="100" w:beforeAutospacing="1" w:after="100" w:afterAutospacing="1"/>
    </w:pPr>
  </w:style>
  <w:style w:type="paragraph" w:styleId="Pis">
    <w:name w:val="header"/>
    <w:basedOn w:val="Normaallaad"/>
    <w:link w:val="PisMrk"/>
    <w:uiPriority w:val="99"/>
    <w:rsid w:val="00B15E35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B15E35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765035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41D5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41D5F"/>
    <w:rPr>
      <w:rFonts w:ascii="Tahoma" w:eastAsia="Times New Roman" w:hAnsi="Tahoma" w:cs="Tahoma"/>
      <w:sz w:val="16"/>
      <w:szCs w:val="16"/>
      <w:lang w:eastAsia="et-EE"/>
    </w:rPr>
  </w:style>
  <w:style w:type="table" w:styleId="Kontuurtabel">
    <w:name w:val="Table Grid"/>
    <w:basedOn w:val="Normaaltabel"/>
    <w:uiPriority w:val="59"/>
    <w:rsid w:val="00EB1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2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983</Words>
  <Characters>5707</Characters>
  <Application>Microsoft Office Word</Application>
  <DocSecurity>0</DocSecurity>
  <Lines>47</Lines>
  <Paragraphs>13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tiinato</dc:creator>
  <cp:lastModifiedBy>Anneli Rätsep</cp:lastModifiedBy>
  <cp:revision>7</cp:revision>
  <dcterms:created xsi:type="dcterms:W3CDTF">2013-11-06T07:01:00Z</dcterms:created>
  <dcterms:modified xsi:type="dcterms:W3CDTF">2013-11-24T16:59:00Z</dcterms:modified>
</cp:coreProperties>
</file>