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966149" w:rsidR="00B21B39" w:rsidP="00966149" w:rsidRDefault="00B21B39" w14:paraId="2B305E16" wp14:textId="77777777">
      <w:pPr>
        <w:pStyle w:val="ListParagraph"/>
        <w:ind w:left="0"/>
        <w:jc w:val="center"/>
        <w:rPr>
          <w:rFonts w:ascii="Times New Roman" w:hAnsi="Times New Roman"/>
          <w:b/>
          <w:sz w:val="24"/>
        </w:rPr>
      </w:pPr>
      <w:proofErr w:type="spellStart"/>
      <w:r w:rsidRPr="039A81E6" w:rsidR="039A81E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Alzheimeri</w:t>
      </w:r>
      <w:proofErr w:type="spellEnd"/>
      <w:r w:rsidRPr="039A81E6" w:rsidR="039A81E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tõve diagnostika ja ravi</w:t>
      </w:r>
    </w:p>
    <w:p xmlns:wp14="http://schemas.microsoft.com/office/word/2010/wordml" w:rsidRPr="00280E3B" w:rsidR="00B21B39" w:rsidP="00966149" w:rsidRDefault="00966149" w14:paraId="674DF5E6" wp14:textId="77777777" wp14:noSpellErr="1">
      <w:pPr>
        <w:spacing w:after="0"/>
        <w:jc w:val="center"/>
        <w:rPr>
          <w:rFonts w:ascii="Times New Roman" w:hAnsi="Times New Roman"/>
          <w:b/>
          <w:lang w:val="et-EE"/>
        </w:rPr>
      </w:pPr>
      <w:r w:rsidRPr="039A81E6" w:rsidR="039A81E6">
        <w:rPr>
          <w:rFonts w:ascii="Times New Roman" w:hAnsi="Times New Roman" w:eastAsia="Times New Roman" w:cs="Times New Roman"/>
          <w:b w:val="1"/>
          <w:bCs w:val="1"/>
          <w:lang w:val="et-EE"/>
        </w:rPr>
        <w:t xml:space="preserve">TÖÖRÜHMA JA SEKRETARIAADI </w:t>
      </w:r>
      <w:r w:rsidRPr="039A81E6" w:rsidR="039A81E6">
        <w:rPr>
          <w:rFonts w:ascii="Times New Roman" w:hAnsi="Times New Roman" w:eastAsia="Times New Roman" w:cs="Times New Roman"/>
          <w:b w:val="1"/>
          <w:bCs w:val="1"/>
          <w:lang w:val="et-EE"/>
        </w:rPr>
        <w:t xml:space="preserve"> </w:t>
      </w:r>
      <w:r w:rsidRPr="039A81E6" w:rsidR="039A81E6">
        <w:rPr>
          <w:rFonts w:ascii="Times New Roman" w:hAnsi="Times New Roman" w:eastAsia="Times New Roman" w:cs="Times New Roman"/>
          <w:b w:val="1"/>
          <w:bCs w:val="1"/>
          <w:lang w:val="et-EE"/>
        </w:rPr>
        <w:t>TÖÖ</w:t>
      </w:r>
      <w:r w:rsidRPr="039A81E6" w:rsidR="039A81E6">
        <w:rPr>
          <w:rFonts w:ascii="Times New Roman" w:hAnsi="Times New Roman" w:eastAsia="Times New Roman" w:cs="Times New Roman"/>
          <w:b w:val="1"/>
          <w:bCs w:val="1"/>
          <w:lang w:val="et-EE"/>
        </w:rPr>
        <w:t>KOOSOLEKU  PROTOKOLL nr. 1</w:t>
      </w:r>
    </w:p>
    <w:p xmlns:wp14="http://schemas.microsoft.com/office/word/2010/wordml" w:rsidRPr="00280E3B" w:rsidR="00B21B39" w:rsidP="00966149" w:rsidRDefault="00B21B39" w14:paraId="0E12D430" wp14:textId="77777777">
      <w:pPr>
        <w:spacing w:after="0"/>
        <w:jc w:val="both"/>
        <w:rPr>
          <w:rFonts w:ascii="Times New Roman" w:hAnsi="Times New Roman"/>
          <w:b/>
          <w:lang w:val="et-EE"/>
        </w:rPr>
      </w:pPr>
    </w:p>
    <w:tbl>
      <w:tblPr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02"/>
        <w:gridCol w:w="8522"/>
      </w:tblGrid>
      <w:tr xmlns:wp14="http://schemas.microsoft.com/office/word/2010/wordml" w:rsidRPr="00966149" w:rsidR="00B21B39" w:rsidTr="039A81E6" w14:paraId="2BB5144E" wp14:textId="77777777">
        <w:tc>
          <w:tcPr>
            <w:tcW w:w="1280" w:type="dxa"/>
            <w:tcMar/>
          </w:tcPr>
          <w:p w:rsidRPr="00966149" w:rsidR="00B21B39" w:rsidP="00966149" w:rsidRDefault="00B21B39" w14:paraId="14C151AD" wp14:textId="7777777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</w:rPr>
              <w:t>Kuupäev</w:t>
            </w:r>
            <w:proofErr w:type="spellEnd"/>
          </w:p>
        </w:tc>
        <w:tc>
          <w:tcPr>
            <w:tcW w:w="8644" w:type="dxa"/>
            <w:tcMar/>
          </w:tcPr>
          <w:p w:rsidRPr="00966149" w:rsidR="00B21B39" w:rsidP="00966149" w:rsidRDefault="00B21B39" w14:paraId="72737353" wp14:textId="7777777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29.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</w:rPr>
              <w:t>veebruar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2016</w:t>
            </w:r>
          </w:p>
        </w:tc>
      </w:tr>
      <w:tr xmlns:wp14="http://schemas.microsoft.com/office/word/2010/wordml" w:rsidRPr="000F1392" w:rsidR="00B21B39" w:rsidTr="039A81E6" w14:paraId="00159339" wp14:textId="77777777">
        <w:tc>
          <w:tcPr>
            <w:tcW w:w="1280" w:type="dxa"/>
            <w:tcMar/>
          </w:tcPr>
          <w:p w:rsidRPr="00966149" w:rsidR="00B21B39" w:rsidP="00966149" w:rsidRDefault="00B21B39" w14:paraId="75AE2B8A" wp14:textId="7777777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</w:rPr>
              <w:t>Koht</w:t>
            </w:r>
            <w:proofErr w:type="spellEnd"/>
          </w:p>
        </w:tc>
        <w:tc>
          <w:tcPr>
            <w:tcW w:w="8644" w:type="dxa"/>
            <w:tcMar/>
          </w:tcPr>
          <w:p w:rsidRPr="000F1392" w:rsidR="00B21B39" w:rsidP="00966149" w:rsidRDefault="00B21B39" w14:paraId="3FDD6890" wp14:textId="6B827A2F">
            <w:pPr>
              <w:spacing w:after="0"/>
              <w:jc w:val="both"/>
              <w:rPr>
                <w:rFonts w:ascii="Times New Roman" w:hAnsi="Times New Roman"/>
                <w:lang w:val="fi-FI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Lastekodu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4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8, E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e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sti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H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aigekassa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, Harju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osakond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nõupidamiste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saal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allinn</w:t>
            </w:r>
            <w:proofErr w:type="spellEnd"/>
          </w:p>
        </w:tc>
      </w:tr>
      <w:tr xmlns:wp14="http://schemas.microsoft.com/office/word/2010/wordml" w:rsidRPr="00B4202B" w:rsidR="00B21B39" w:rsidTr="039A81E6" w14:paraId="7AF7B4EE" wp14:textId="77777777">
        <w:tc>
          <w:tcPr>
            <w:tcW w:w="1280" w:type="dxa"/>
            <w:tcMar/>
          </w:tcPr>
          <w:p w:rsidRPr="00966149" w:rsidR="00B21B39" w:rsidP="00966149" w:rsidRDefault="00B21B39" w14:paraId="0E658B2D" wp14:textId="7777777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</w:rPr>
              <w:t>Algus</w:t>
            </w:r>
            <w:proofErr w:type="spellEnd"/>
          </w:p>
          <w:p w:rsidRPr="00966149" w:rsidR="00B21B39" w:rsidP="00966149" w:rsidRDefault="00B21B39" w14:paraId="2B94BF1F" wp14:textId="7777777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</w:rPr>
              <w:t>Lõpp</w:t>
            </w:r>
            <w:proofErr w:type="spellEnd"/>
          </w:p>
        </w:tc>
        <w:tc>
          <w:tcPr>
            <w:tcW w:w="8644" w:type="dxa"/>
            <w:tcMar/>
          </w:tcPr>
          <w:p w:rsidRPr="00B4202B" w:rsidR="00B21B39" w:rsidP="00966149" w:rsidRDefault="00B21B39" w14:paraId="783AFCB5" wp14:textId="77777777" wp14:noSpellErr="1">
            <w:pPr>
              <w:spacing w:after="0"/>
              <w:jc w:val="both"/>
              <w:rPr>
                <w:rFonts w:ascii="Times New Roman" w:hAnsi="Times New Roman"/>
              </w:rPr>
            </w:pPr>
            <w:r w:rsidRPr="039A81E6" w:rsidR="039A81E6">
              <w:rPr>
                <w:rFonts w:ascii="Times New Roman" w:hAnsi="Times New Roman" w:eastAsia="Times New Roman" w:cs="Times New Roman"/>
              </w:rPr>
              <w:t>kl 12</w:t>
            </w:r>
            <w:r w:rsidRPr="039A81E6" w:rsidR="039A81E6">
              <w:rPr>
                <w:rFonts w:ascii="Times New Roman" w:hAnsi="Times New Roman" w:eastAsia="Times New Roman" w:cs="Times New Roman"/>
              </w:rPr>
              <w:t>.</w:t>
            </w:r>
            <w:r w:rsidRPr="039A81E6" w:rsidR="039A81E6">
              <w:rPr>
                <w:rFonts w:ascii="Times New Roman" w:hAnsi="Times New Roman" w:eastAsia="Times New Roman" w:cs="Times New Roman"/>
              </w:rPr>
              <w:t>1</w:t>
            </w:r>
            <w:r w:rsidRPr="039A81E6" w:rsidR="039A81E6">
              <w:rPr>
                <w:rFonts w:ascii="Times New Roman" w:hAnsi="Times New Roman" w:eastAsia="Times New Roman" w:cs="Times New Roman"/>
              </w:rPr>
              <w:t>0</w:t>
            </w:r>
          </w:p>
          <w:p w:rsidRPr="00B4202B" w:rsidR="00B21B39" w:rsidP="00966149" w:rsidRDefault="00B21B39" w14:paraId="2325612A" wp14:textId="77777777" wp14:noSpellErr="1">
            <w:pPr>
              <w:spacing w:after="0"/>
              <w:jc w:val="both"/>
              <w:rPr>
                <w:rFonts w:ascii="Times New Roman" w:hAnsi="Times New Roman"/>
              </w:rPr>
            </w:pPr>
            <w:r w:rsidRPr="039A81E6" w:rsidR="039A81E6">
              <w:rPr>
                <w:rFonts w:ascii="Times New Roman" w:hAnsi="Times New Roman" w:eastAsia="Times New Roman" w:cs="Times New Roman"/>
              </w:rPr>
              <w:t>kl 16.</w:t>
            </w:r>
            <w:r w:rsidRPr="039A81E6" w:rsidR="039A81E6">
              <w:rPr>
                <w:rFonts w:ascii="Times New Roman" w:hAnsi="Times New Roman" w:eastAsia="Times New Roman" w:cs="Times New Roman"/>
              </w:rPr>
              <w:t>00</w:t>
            </w:r>
          </w:p>
        </w:tc>
      </w:tr>
      <w:tr xmlns:wp14="http://schemas.microsoft.com/office/word/2010/wordml" w:rsidRPr="00B4202B" w:rsidR="00B21B39" w:rsidTr="039A81E6" w14:paraId="571554ED" wp14:textId="77777777">
        <w:tc>
          <w:tcPr>
            <w:tcW w:w="1280" w:type="dxa"/>
            <w:tcMar/>
          </w:tcPr>
          <w:p w:rsidRPr="00966149" w:rsidR="00B21B39" w:rsidP="00966149" w:rsidRDefault="00B21B39" w14:paraId="430F3869" wp14:textId="7777777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</w:rPr>
              <w:t>Osalejad</w:t>
            </w:r>
            <w:proofErr w:type="spellEnd"/>
          </w:p>
        </w:tc>
        <w:tc>
          <w:tcPr>
            <w:tcW w:w="8644" w:type="dxa"/>
            <w:tcMar/>
          </w:tcPr>
          <w:p w:rsidR="00B21B39" w:rsidP="00966149" w:rsidRDefault="00B21B39" w14:paraId="7AA70AF4" wp14:textId="7777777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Töörühma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liikmed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: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Ülla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Linnamägi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Jelena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Leibur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Äli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Roose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Miret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Tuur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Helgi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Kolk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Maritta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Loog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Kadri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Andresen,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Maritta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Loog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, Helen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Lasn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>,</w:t>
            </w:r>
            <w:r w:rsidRPr="039A81E6" w:rsidR="039A81E6">
              <w:rPr>
                <w:rFonts w:ascii="Times New Roman" w:hAnsi="Times New Roman" w:eastAsia="Times New Roman" w:cs="Times New Roman"/>
              </w:rPr>
              <w:t xml:space="preserve">  Kristi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Tamela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Teija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Toivari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>.</w:t>
            </w:r>
          </w:p>
          <w:p w:rsidRPr="00B4202B" w:rsidR="00B21B39" w:rsidP="00966149" w:rsidRDefault="00B21B39" w14:paraId="20B10159" wp14:textId="77777777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Sekretariaadi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liikm</w:t>
            </w:r>
            <w:r w:rsidRPr="039A81E6" w:rsidR="039A81E6">
              <w:rPr>
                <w:rFonts w:ascii="Times New Roman" w:hAnsi="Times New Roman" w:eastAsia="Times New Roman" w:cs="Times New Roman"/>
              </w:rPr>
              <w:t>ed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: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Ülle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Krikmann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, Siret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Oja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Anu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Varep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Tiina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Sats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(EHK)</w:t>
            </w:r>
          </w:p>
          <w:p w:rsidRPr="00B4202B" w:rsidR="00B21B39" w:rsidP="00966149" w:rsidRDefault="00B21B39" w14:paraId="43A11672" wp14:textId="77777777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Täiendavalt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osalesid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: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Reet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Vinkel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(EHK)</w:t>
            </w:r>
          </w:p>
        </w:tc>
      </w:tr>
      <w:tr xmlns:wp14="http://schemas.microsoft.com/office/word/2010/wordml" w:rsidRPr="0040264C" w:rsidR="00B21B39" w:rsidTr="039A81E6" w14:paraId="34776E9E" wp14:textId="77777777">
        <w:tc>
          <w:tcPr>
            <w:tcW w:w="1280" w:type="dxa"/>
            <w:tcMar/>
          </w:tcPr>
          <w:p w:rsidRPr="00966149" w:rsidR="00B21B39" w:rsidP="00966149" w:rsidRDefault="00B21B39" w14:paraId="32C1D6E6" wp14:textId="7777777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</w:rPr>
              <w:t>Puuduvad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</w:rPr>
              <w:t>liikmed</w:t>
            </w:r>
            <w:proofErr w:type="spellEnd"/>
          </w:p>
        </w:tc>
        <w:tc>
          <w:tcPr>
            <w:tcW w:w="8644" w:type="dxa"/>
            <w:tcMar/>
          </w:tcPr>
          <w:p w:rsidRPr="0040264C" w:rsidR="00B21B39" w:rsidP="00966149" w:rsidRDefault="00B21B39" w14:paraId="38584D64" wp14:textId="7777777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Töörühmast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puudusid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: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Pille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Taba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Katrin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-Gross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Paju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Liina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Vahter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, Angelika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Armolik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, Toomas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Toomsoo</w:t>
            </w:r>
            <w:proofErr w:type="spellEnd"/>
          </w:p>
          <w:p w:rsidRPr="0040264C" w:rsidR="00B21B39" w:rsidP="00966149" w:rsidRDefault="00B21B39" w14:paraId="531591D0" wp14:textId="77777777">
            <w:pPr>
              <w:spacing w:after="0"/>
              <w:jc w:val="both"/>
              <w:rPr>
                <w:rFonts w:ascii="Times New Roman" w:hAnsi="Times New Roman"/>
                <w:lang w:val="sv-SE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sv-SE"/>
              </w:rPr>
              <w:t>Sekretariaadist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sv-SE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sv-SE"/>
              </w:rPr>
              <w:t>puudusid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sv-SE"/>
              </w:rPr>
              <w:t>:</w:t>
            </w:r>
            <w:r w:rsidRPr="039A81E6" w:rsidR="039A81E6">
              <w:rPr>
                <w:rFonts w:ascii="Times New Roman" w:hAnsi="Times New Roman" w:eastAsia="Times New Roman" w:cs="Times New Roman"/>
                <w:lang w:val="sv-SE"/>
              </w:rPr>
              <w:t xml:space="preserve"> </w:t>
            </w:r>
            <w:r w:rsidRPr="039A81E6" w:rsidR="039A81E6">
              <w:rPr>
                <w:rFonts w:ascii="Times New Roman" w:hAnsi="Times New Roman" w:eastAsia="Times New Roman" w:cs="Times New Roman"/>
                <w:lang w:val="sv-SE"/>
              </w:rPr>
              <w:t xml:space="preserve">Terje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sv-SE"/>
              </w:rPr>
              <w:t>Matsalu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sv-SE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sv-SE"/>
              </w:rPr>
              <w:t>Piret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sv-SE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sv-SE"/>
              </w:rPr>
              <w:t>Väljaots</w:t>
            </w:r>
            <w:proofErr w:type="spellEnd"/>
          </w:p>
        </w:tc>
      </w:tr>
      <w:tr xmlns:wp14="http://schemas.microsoft.com/office/word/2010/wordml" w:rsidRPr="00B4202B" w:rsidR="00B21B39" w:rsidTr="039A81E6" w14:paraId="72868295" wp14:textId="77777777">
        <w:tc>
          <w:tcPr>
            <w:tcW w:w="1280" w:type="dxa"/>
            <w:tcMar/>
          </w:tcPr>
          <w:p w:rsidRPr="00966149" w:rsidR="00B21B39" w:rsidP="00966149" w:rsidRDefault="00B21B39" w14:paraId="45BFD337" wp14:textId="7777777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</w:rPr>
              <w:t>Juhatas</w:t>
            </w:r>
            <w:proofErr w:type="spellEnd"/>
          </w:p>
        </w:tc>
        <w:tc>
          <w:tcPr>
            <w:tcW w:w="8644" w:type="dxa"/>
            <w:tcMar/>
          </w:tcPr>
          <w:p w:rsidRPr="00B4202B" w:rsidR="00B21B39" w:rsidP="00966149" w:rsidRDefault="00966149" w14:paraId="7787CC20" wp14:textId="77777777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Ülla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Linnamägi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>,</w:t>
            </w:r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Reet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Vinkel</w:t>
            </w:r>
            <w:proofErr w:type="spellEnd"/>
          </w:p>
        </w:tc>
      </w:tr>
      <w:tr xmlns:wp14="http://schemas.microsoft.com/office/word/2010/wordml" w:rsidRPr="00B4202B" w:rsidR="00B21B39" w:rsidTr="039A81E6" w14:paraId="2B52A453" wp14:textId="77777777">
        <w:tc>
          <w:tcPr>
            <w:tcW w:w="1280" w:type="dxa"/>
            <w:tcMar/>
          </w:tcPr>
          <w:p w:rsidRPr="00966149" w:rsidR="00B21B39" w:rsidP="00966149" w:rsidRDefault="00B21B39" w14:paraId="7948FF43" wp14:textId="7777777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</w:rPr>
              <w:t>Protokollis</w:t>
            </w:r>
            <w:proofErr w:type="spellEnd"/>
          </w:p>
        </w:tc>
        <w:tc>
          <w:tcPr>
            <w:tcW w:w="8644" w:type="dxa"/>
            <w:tcMar/>
          </w:tcPr>
          <w:p w:rsidRPr="00B4202B" w:rsidR="00B21B39" w:rsidP="00966149" w:rsidRDefault="00B21B39" w14:paraId="24FE51CD" wp14:textId="77777777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Ülle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Krikmann</w:t>
            </w:r>
            <w:proofErr w:type="spellEnd"/>
          </w:p>
        </w:tc>
      </w:tr>
      <w:tr xmlns:wp14="http://schemas.microsoft.com/office/word/2010/wordml" w:rsidRPr="00280E3B" w:rsidR="00B21B39" w:rsidTr="039A81E6" w14:paraId="579178B3" wp14:textId="77777777">
        <w:tc>
          <w:tcPr>
            <w:tcW w:w="1280" w:type="dxa"/>
            <w:tcMar/>
          </w:tcPr>
          <w:p w:rsidRPr="00966149" w:rsidR="00B21B39" w:rsidP="00966149" w:rsidRDefault="00B21B39" w14:paraId="11A2DB86" wp14:textId="7777777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</w:rPr>
              <w:t>Päevakord</w:t>
            </w:r>
            <w:proofErr w:type="spellEnd"/>
          </w:p>
        </w:tc>
        <w:tc>
          <w:tcPr>
            <w:tcW w:w="8644" w:type="dxa"/>
            <w:tcBorders>
              <w:bottom w:val="nil"/>
            </w:tcBorders>
            <w:tcMar/>
          </w:tcPr>
          <w:p w:rsidRPr="00241F32" w:rsidR="00B21B39" w:rsidP="039A81E6" w:rsidRDefault="00477AC8" w14:paraId="039136F9" wp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Reet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Vinkel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Ülevaade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praegustest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ravijuhenditest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r w:rsidRPr="039A81E6" w:rsidR="039A81E6">
              <w:rPr>
                <w:rFonts w:ascii="Times New Roman" w:hAnsi="Times New Roman" w:eastAsia="Times New Roman" w:cs="Times New Roman"/>
              </w:rPr>
              <w:t>ja</w:t>
            </w:r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ettepanekutest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kuidas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ravijuhendite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välja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töötamist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tõhustada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. </w:t>
            </w:r>
            <w:proofErr w:type="gramStart"/>
            <w:proofErr w:type="gramEnd"/>
          </w:p>
          <w:p w:rsidRPr="00241F32" w:rsidR="00B21B39" w:rsidP="039A81E6" w:rsidRDefault="00B21B39" w14:paraId="5DB1D7E1" wp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Reet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Vinkel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sv-SE"/>
              </w:rPr>
              <w:t>Huvide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sv-SE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sv-SE"/>
              </w:rPr>
              <w:t>deklareerimine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sv-SE"/>
              </w:rPr>
              <w:t xml:space="preserve">. </w:t>
            </w:r>
          </w:p>
          <w:p w:rsidRPr="00241F32" w:rsidR="00B21B39" w:rsidP="039A81E6" w:rsidRDefault="00966149" w14:paraId="25D84CCF" wp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Reet Vinkel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.T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öörühma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ja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sekretariaadi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töökorraldus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. </w:t>
            </w:r>
          </w:p>
          <w:p w:rsidRPr="00241F32" w:rsidR="00B21B39" w:rsidP="039A81E6" w:rsidRDefault="00B21B39" w14:paraId="2FBC91C4" wp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Ülle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Krikmann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Sekretariaadi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tööst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ülevaade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andmete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ja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ravijuhendite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otsingutel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erinevatest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andmebaasidest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aastatel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2010 -2015.</w:t>
            </w:r>
            <w:proofErr w:type="gramStart"/>
            <w:proofErr w:type="gramEnd"/>
          </w:p>
          <w:p w:rsidRPr="00241F32" w:rsidR="00B21B39" w:rsidP="039A81E6" w:rsidRDefault="00B21B39" w14:paraId="14907CEA" wp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fi-FI"/>
              </w:rPr>
            </w:pP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Siret Oja – 7.kliinilise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küsimuse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arutelu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. </w:t>
            </w:r>
          </w:p>
          <w:p w:rsidRPr="00B4202B" w:rsidR="00B21B39" w:rsidP="039A81E6" w:rsidRDefault="00B21B39" w14:paraId="79C0EA92" wp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Ülle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Krikmann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– 9.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kliinilise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küsimuse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arutelu</w:t>
            </w:r>
            <w:proofErr w:type="spellEnd"/>
          </w:p>
        </w:tc>
      </w:tr>
      <w:tr xmlns:wp14="http://schemas.microsoft.com/office/word/2010/wordml" w:rsidRPr="00241F32" w:rsidR="00B21B39" w:rsidTr="039A81E6" w14:paraId="02DCE159" wp14:textId="77777777">
        <w:tc>
          <w:tcPr>
            <w:tcW w:w="1280" w:type="dxa"/>
            <w:tcMar/>
          </w:tcPr>
          <w:p w:rsidRPr="00966149" w:rsidR="00B21B39" w:rsidP="00966149" w:rsidRDefault="00B21B39" w14:paraId="3C219B2A" wp14:textId="7777777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</w:rPr>
              <w:t>Ülevaade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</w:rPr>
              <w:t>toimunud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</w:rPr>
              <w:t>aruteludest</w:t>
            </w:r>
            <w:proofErr w:type="spellEnd"/>
          </w:p>
        </w:tc>
        <w:tc>
          <w:tcPr>
            <w:tcW w:w="8644" w:type="dxa"/>
            <w:tcBorders>
              <w:top w:val="nil"/>
            </w:tcBorders>
            <w:tcMar/>
          </w:tcPr>
          <w:p w:rsidR="00966149" w:rsidP="00966149" w:rsidRDefault="00966149" w14:paraId="51F40C44" wp14:textId="777777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Kohal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on 11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töörühma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liiget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Töörühma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kvoorumi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kokkusaamiseks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on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vajalik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¾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liikmete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kohalolu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ehk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12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liiget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Töörühma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juht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informeerib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võimaliku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kahe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töörühma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liikme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vahetusest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>.</w:t>
            </w:r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H</w:t>
            </w:r>
            <w:r w:rsidRPr="039A81E6" w:rsidR="039A81E6">
              <w:rPr>
                <w:rFonts w:ascii="Times New Roman" w:hAnsi="Times New Roman" w:eastAsia="Times New Roman" w:cs="Times New Roman"/>
              </w:rPr>
              <w:t>etkel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on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liikmetega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läbirääkimiste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protsessid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pooleli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Liikmete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muutus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on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vajalik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, et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järgnevatel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töökosoolekutel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oleks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kvoorum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koos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, et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sõnastada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ja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kinnitada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ravijuhendi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soovitusi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ning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anda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suuniseid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sekretariaadile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>.</w:t>
            </w:r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Huvide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konflikte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vastavalt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novembris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2015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esitatud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huvide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dekalreerimise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vormile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ei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ole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ühelgi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töörühma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ega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sekretariaadi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liikmel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>.</w:t>
            </w:r>
          </w:p>
          <w:p w:rsidR="00966149" w:rsidP="00966149" w:rsidRDefault="00966149" w14:paraId="38DD0EF5" wp14:textId="777777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Pr="009E7344" w:rsidR="00B21B39" w:rsidP="039A81E6" w:rsidRDefault="00477AC8" w14:paraId="5E90F4B7" wp14:textId="7777777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Reet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Vinkel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„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Ülevaade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praegustest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ravijuhenditest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ja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ettepanekutest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kuidas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ravijuhendite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välja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töötamist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tõhustada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>”</w:t>
            </w:r>
            <w:r w:rsidRPr="039A81E6" w:rsidR="039A81E6">
              <w:rPr>
                <w:rFonts w:ascii="Times New Roman" w:hAnsi="Times New Roman" w:eastAsia="Times New Roman" w:cs="Times New Roman"/>
              </w:rPr>
              <w:t xml:space="preserve">. </w:t>
            </w:r>
          </w:p>
          <w:p w:rsidRPr="009E7344" w:rsidR="00B21B39" w:rsidP="00966149" w:rsidRDefault="00B21B39" w14:paraId="5291FBAB" wp14:textId="77777777">
            <w:pPr>
              <w:jc w:val="both"/>
              <w:rPr>
                <w:rFonts w:ascii="Times New Roman" w:hAnsi="Times New Roman"/>
                <w:lang w:val="fi-FI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Ettekande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slaidid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lisatud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Oluline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keskenduda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tõe</w:t>
            </w:r>
            <w:r w:rsidRPr="039A81E6" w:rsidR="039A81E6">
              <w:rPr>
                <w:rFonts w:ascii="Times New Roman" w:hAnsi="Times New Roman" w:eastAsia="Times New Roman" w:cs="Times New Roman"/>
              </w:rPr>
              <w:t>n</w:t>
            </w:r>
            <w:r w:rsidRPr="039A81E6" w:rsidR="039A81E6">
              <w:rPr>
                <w:rFonts w:ascii="Times New Roman" w:hAnsi="Times New Roman" w:eastAsia="Times New Roman" w:cs="Times New Roman"/>
              </w:rPr>
              <w:t>dusmaterjalidele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mitte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anda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kerge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kaaluga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või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tõendusmaterjalita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</w:rPr>
              <w:t>soovitusi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</w:rPr>
              <w:t xml:space="preserve">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Ravijuhe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n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di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väljatöötamise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aluseks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praegune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kehtiv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käsiraamat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(2011)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.</w:t>
            </w:r>
          </w:p>
          <w:p w:rsidR="00B21B39" w:rsidP="039A81E6" w:rsidRDefault="00B21B39" w14:paraId="43FA3442" wp14:textId="7777777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fi-FI"/>
              </w:rPr>
            </w:pP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Reet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Vinkel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Huvide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deklareerimine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. Reet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Vinkel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on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tevitab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osalejaid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kohustusest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teavitada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võimalikust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huvide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konfliktist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, kas on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tekkinud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uusi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huvide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konflikt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või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mitte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Ettepanek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Ülla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Linnamägi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ja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Ülle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Krikman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täiendavad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oma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huvide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deklaratsioone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kuna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on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saanud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oma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tööga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seonduvalt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loengutasusid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toetusi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ja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stipendiumeid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kuid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neeed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ei ole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seotud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otseselt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Alzheimeri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tõve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ravi ja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diagnostik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küsimustega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Tehakse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täiendus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ed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huvide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deklaratsioonidesse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Iga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töökoosolek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algab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võimalikest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huvide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konfliktidest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informeerimisega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vajadusel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täiendatakse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deklaratsioone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Otsustatkase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, kas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meetmeid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peab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rakendama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või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mitte</w:t>
            </w:r>
            <w:proofErr w:type="spellEnd"/>
          </w:p>
          <w:p w:rsidRPr="009E7344" w:rsidR="00E22C44" w:rsidP="00E22C44" w:rsidRDefault="00E22C44" w14:paraId="3B7DD380" wp14:textId="7777777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val="fi-FI"/>
              </w:rPr>
            </w:pPr>
          </w:p>
          <w:p w:rsidR="00B21B39" w:rsidP="039A81E6" w:rsidRDefault="00B21B39" w14:paraId="296E53A9" wp14:textId="7777777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fi-FI"/>
              </w:rPr>
            </w:pP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Reet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Vinkel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Töörühma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ja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sekretariaadi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töökorraldus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Järgmine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koosolek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: 5.04.2016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kell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12.00 VIDEO;  PAKUTAV AEG: 11.05. KELL 13:00 -17.00 ja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järgmiste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koosolekute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kavad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Eeldatav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ravijuhendi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lõpik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valmimine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kevad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2017.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Sekretariaat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jagab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ära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teemad ja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püüab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teha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ka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esilagse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ajagraafiku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järgmisteks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koosolekutel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käsitlevatest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teemadest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.</w:t>
            </w:r>
          </w:p>
          <w:p w:rsidRPr="005A3718" w:rsidR="00966149" w:rsidP="00966149" w:rsidRDefault="00966149" w14:paraId="1E658DEE" wp14:textId="7777777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val="fi-FI"/>
              </w:rPr>
            </w:pPr>
          </w:p>
          <w:p w:rsidR="00477AC8" w:rsidP="039A81E6" w:rsidRDefault="00B21B39" w14:paraId="2C5A3A6D" wp14:textId="7777777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fi-FI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Ülle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Krikmann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annab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ülevaate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sekretariaadi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tööst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andmete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ja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ravijuhendite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otsingutest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erinevatest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andmebaasidest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aastatel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2010 -2015.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Töögrupp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soovitab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ajavahemikku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pikendada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otsinguid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teostada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ajavahemikust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2005-2015.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Teijari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–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vajalik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kaasat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rohkem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andmebaase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näiteks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EB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SCO,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aastad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2005-2016. </w:t>
            </w:r>
          </w:p>
          <w:p w:rsidR="00477AC8" w:rsidP="00477AC8" w:rsidRDefault="00477AC8" w14:paraId="4AF31D7A" wp14:textId="77777777">
            <w:pPr>
              <w:pStyle w:val="ListParagraph"/>
              <w:rPr>
                <w:rFonts w:ascii="Times New Roman" w:hAnsi="Times New Roman"/>
                <w:lang w:val="fi-FI"/>
              </w:rPr>
            </w:pPr>
          </w:p>
          <w:p w:rsidR="00477AC8" w:rsidP="00477AC8" w:rsidRDefault="00B21B39" w14:paraId="1D6A80E5" wp14:textId="7777777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val="fi-FI"/>
              </w:rPr>
            </w:pP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M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.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Tuur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–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vajalik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haarata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ka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omaste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nõustamise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ja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tegelemise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osa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kommentaar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Ü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.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Krikmann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–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omakseid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kästlevad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teemad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tulevad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arutlusele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teises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kliinilises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küsimuses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.</w:t>
            </w:r>
          </w:p>
          <w:p w:rsidR="008809D6" w:rsidP="00477AC8" w:rsidRDefault="008809D6" w14:paraId="4D16BBA3" wp14:textId="7777777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val="fi-FI"/>
              </w:rPr>
            </w:pP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R.Vinkel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annab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ülevaate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ravijuhendite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AGREEGA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hindamistest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Hetkel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on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kõige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kvaliteetsemad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ravijuhendid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mida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kaasatakse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ka Eesti RJ koostamisele:</w:t>
            </w:r>
          </w:p>
          <w:p w:rsidR="37092782" w:rsidP="37092782" w:rsidRDefault="37092782" w14:paraId="0893E02A" w14:textId="2FFD30EE">
            <w:pPr>
              <w:ind w:left="360" w:hanging="360"/>
              <w:jc w:val="both"/>
            </w:pPr>
            <w:r w:rsidRPr="039A81E6" w:rsidR="039A81E6">
              <w:rPr>
                <w:rFonts w:ascii="Times New Roman" w:hAnsi="Times New Roman" w:eastAsia="Times New Roman" w:cs="Times New Roman"/>
                <w:color w:val="376092"/>
                <w:sz w:val="22"/>
                <w:szCs w:val="22"/>
              </w:rPr>
              <w:t>-</w:t>
            </w:r>
            <w:r w:rsidRPr="039A81E6" w:rsidR="039A81E6">
              <w:rPr>
                <w:rFonts w:ascii="Times New Roman" w:hAnsi="Times New Roman" w:eastAsia="Times New Roman" w:cs="Times New Roman"/>
                <w:color w:val="376092"/>
                <w:sz w:val="22"/>
                <w:szCs w:val="22"/>
              </w:rPr>
              <w:t xml:space="preserve"> </w:t>
            </w:r>
            <w:r w:rsidRPr="039A81E6" w:rsidR="039A81E6">
              <w:rPr>
                <w:rFonts w:ascii="Times New Roman" w:hAnsi="Times New Roman" w:eastAsia="Times New Roman" w:cs="Times New Roman"/>
                <w:color w:val="376092"/>
                <w:sz w:val="22"/>
                <w:szCs w:val="22"/>
              </w:rPr>
              <w:t xml:space="preserve">EFNS guidelines for the diagnosis and management of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376092"/>
                <w:sz w:val="22"/>
                <w:szCs w:val="22"/>
              </w:rPr>
              <w:t>Alzheimers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376092"/>
                <w:sz w:val="22"/>
                <w:szCs w:val="22"/>
              </w:rPr>
              <w:t xml:space="preserve"> disease (2010)</w:t>
            </w:r>
            <w:r w:rsidRPr="039A81E6" w:rsidR="039A81E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sz w:val="22"/>
                <w:szCs w:val="22"/>
              </w:rPr>
              <w:t>lühend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 w:rsidRPr="039A81E6" w:rsidR="039A81E6">
              <w:rPr>
                <w:rFonts w:ascii="Times New Roman" w:hAnsi="Times New Roman" w:eastAsia="Times New Roman" w:cs="Times New Roman"/>
                <w:sz w:val="22"/>
                <w:szCs w:val="22"/>
              </w:rPr>
              <w:t>EFNS,  AGREE</w:t>
            </w:r>
            <w:r w:rsidRPr="039A81E6" w:rsidR="039A81E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sz w:val="22"/>
                <w:szCs w:val="22"/>
              </w:rPr>
              <w:t>üldtulemus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67%</w:t>
            </w:r>
          </w:p>
          <w:p w:rsidR="37092782" w:rsidP="37092782" w:rsidRDefault="37092782" wp14:noSpellErr="1" w14:paraId="0982193D" w14:textId="7269EBF1">
            <w:pPr>
              <w:ind w:left="360" w:hanging="360"/>
              <w:jc w:val="both"/>
            </w:pPr>
            <w:r w:rsidRPr="37092782" w:rsidR="37092782">
              <w:rPr>
                <w:rFonts w:ascii="Times New Roman" w:hAnsi="Times New Roman" w:eastAsia="Times New Roman" w:cs="Times New Roman"/>
                <w:color w:val="376092"/>
                <w:sz w:val="22"/>
                <w:szCs w:val="22"/>
              </w:rPr>
              <w:t>-</w:t>
            </w:r>
            <w:r w:rsidRPr="37092782" w:rsidR="37092782">
              <w:rPr>
                <w:rFonts w:ascii="Times New Roman" w:hAnsi="Times New Roman" w:eastAsia="Times New Roman" w:cs="Times New Roman"/>
                <w:color w:val="376092"/>
                <w:sz w:val="22"/>
                <w:szCs w:val="22"/>
              </w:rPr>
              <w:t>GUIDELINE WATCH (OCTOBER 2014): PRACTICE GUIDELINE FOR THE TREATMENT OF PATIENTS WITH ALZHEIMER’S DISEASE AND OTHER DEMENTIAS (2014)</w:t>
            </w:r>
            <w:r w:rsidRPr="37092782" w:rsidR="37092782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Lühend “APA-Watch” AGREE üldtulemus 80%</w:t>
            </w:r>
          </w:p>
          <w:p w:rsidR="37092782" w:rsidP="37092782" w:rsidRDefault="37092782" wp14:noSpellErr="1" w14:paraId="427338D8" w14:textId="56B2E092">
            <w:pPr>
              <w:ind w:left="360" w:hanging="360"/>
              <w:jc w:val="both"/>
            </w:pPr>
            <w:r w:rsidRPr="37092782" w:rsidR="37092782">
              <w:rPr>
                <w:rFonts w:ascii="Times New Roman" w:hAnsi="Times New Roman" w:eastAsia="Times New Roman" w:cs="Times New Roman"/>
                <w:color w:val="376092"/>
                <w:sz w:val="22"/>
                <w:szCs w:val="22"/>
              </w:rPr>
              <w:t>-</w:t>
            </w:r>
            <w:r w:rsidRPr="37092782" w:rsidR="37092782">
              <w:rPr>
                <w:rFonts w:ascii="Times New Roman" w:hAnsi="Times New Roman" w:eastAsia="Times New Roman" w:cs="Times New Roman"/>
                <w:color w:val="376092"/>
                <w:sz w:val="22"/>
                <w:szCs w:val="22"/>
              </w:rPr>
              <w:t xml:space="preserve">Guideline for Alzheimer’s Disease Management (2008) –“California_workgroup” </w:t>
            </w:r>
            <w:r w:rsidRPr="37092782" w:rsidR="37092782">
              <w:rPr>
                <w:rFonts w:ascii="Times New Roman" w:hAnsi="Times New Roman" w:eastAsia="Times New Roman" w:cs="Times New Roman"/>
                <w:color w:val="376092"/>
                <w:sz w:val="22"/>
                <w:szCs w:val="22"/>
              </w:rPr>
              <w:t>AGREE üldtulemus 65%</w:t>
            </w:r>
          </w:p>
          <w:p w:rsidR="37092782" w:rsidP="37092782" w:rsidRDefault="37092782" wp14:noSpellErr="1" w14:paraId="740EE3D7" w14:textId="311A943D">
            <w:pPr>
              <w:ind w:left="360" w:hanging="360"/>
              <w:jc w:val="both"/>
            </w:pPr>
            <w:r w:rsidRPr="37092782" w:rsidR="37092782">
              <w:rPr>
                <w:rFonts w:ascii="Times New Roman" w:hAnsi="Times New Roman" w:eastAsia="Times New Roman" w:cs="Times New Roman"/>
                <w:color w:val="376092"/>
                <w:sz w:val="22"/>
                <w:szCs w:val="22"/>
                <w:lang w:val="fi"/>
              </w:rPr>
              <w:t>-</w:t>
            </w:r>
            <w:r w:rsidRPr="37092782" w:rsidR="37092782">
              <w:rPr>
                <w:rFonts w:ascii="Times New Roman" w:hAnsi="Times New Roman" w:eastAsia="Times New Roman" w:cs="Times New Roman"/>
                <w:color w:val="376092"/>
                <w:sz w:val="22"/>
                <w:szCs w:val="22"/>
              </w:rPr>
              <w:t>Fourth Canadian Consensus Conference on the Diagnosis and Treatment of Dementia: recommendations for family physicians (2014)</w:t>
            </w:r>
            <w:r w:rsidRPr="37092782" w:rsidR="37092782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Lühend "CanCCDTD_2014"  Agree üldtulemus 73%</w:t>
            </w:r>
          </w:p>
          <w:p w:rsidR="37092782" w:rsidP="37092782" w:rsidRDefault="37092782" wp14:noSpellErr="1" w14:paraId="2D2913B9" w14:textId="73998B32">
            <w:pPr>
              <w:pStyle w:val="Normal"/>
              <w:spacing w:after="0" w:line="240" w:lineRule="auto"/>
              <w:ind w:left="720"/>
              <w:jc w:val="both"/>
            </w:pPr>
          </w:p>
          <w:p w:rsidR="008809D6" w:rsidP="00477AC8" w:rsidRDefault="008809D6" w14:paraId="095A489A" wp14:textId="7777777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val="fi-FI"/>
              </w:rPr>
            </w:pPr>
          </w:p>
          <w:p w:rsidR="008809D6" w:rsidP="00477AC8" w:rsidRDefault="008809D6" w14:paraId="7D7D7952" wp14:textId="7777777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val="fi-FI"/>
              </w:rPr>
            </w:pPr>
          </w:p>
          <w:p w:rsidR="00477AC8" w:rsidP="00477AC8" w:rsidRDefault="00477AC8" w14:paraId="36BBBFEF" wp14:textId="7777777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val="fi-FI"/>
              </w:rPr>
            </w:pPr>
          </w:p>
          <w:p w:rsidR="00477AC8" w:rsidP="00477AC8" w:rsidRDefault="00477AC8" w14:paraId="38A083BA" wp14:textId="77777777">
            <w:pPr>
              <w:spacing w:after="0" w:line="240" w:lineRule="auto"/>
              <w:jc w:val="both"/>
              <w:rPr>
                <w:rFonts w:ascii="Times New Roman" w:hAnsi="Times New Roman"/>
                <w:lang w:val="fi-FI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t-EE"/>
              </w:rPr>
              <w:t>Kliiniliste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t-EE"/>
              </w:rPr>
              <w:t>küsimuste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t-EE"/>
              </w:rPr>
              <w:t>tõendusmaterjali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t-EE"/>
              </w:rPr>
              <w:t>kokkuvõtete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t-EE"/>
              </w:rPr>
              <w:t>arutelu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t-EE"/>
              </w:rPr>
              <w:t xml:space="preserve"> </w:t>
            </w:r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t-EE"/>
              </w:rPr>
              <w:t xml:space="preserve">ja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t-EE"/>
              </w:rPr>
              <w:t>soovituste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t-EE"/>
              </w:rPr>
              <w:t>sõnastamine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</w:p>
          <w:p w:rsidR="00477AC8" w:rsidP="039A81E6" w:rsidRDefault="00B21B39" w14:paraId="72D810B1" wp14:textId="7777777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fi-FI"/>
              </w:rPr>
            </w:pP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Siret Oja.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>Kliinili</w:t>
            </w:r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>ne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>küsimus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>nr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 xml:space="preserve"> 7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.</w:t>
            </w:r>
          </w:p>
          <w:p w:rsidRPr="00CA2B30" w:rsidR="00477AC8" w:rsidP="039A81E6" w:rsidRDefault="00E1643D" w14:paraId="14386416" wp14:textId="77777777">
            <w:pPr>
              <w:pStyle w:val="NormalWeb"/>
              <w:spacing w:before="0" w:beforeAutospacing="off" w:after="0" w:afterAutospacing="off"/>
              <w:contextualSpacing/>
              <w:jc w:val="both"/>
              <w:rPr>
                <w:i/>
                <w:color w:val="548DD4" w:themeColor="text2" w:themeTint="99"/>
                <w:sz w:val="22"/>
                <w:lang w:val="fi-FI"/>
              </w:rPr>
            </w:pPr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>7.</w:t>
            </w:r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 xml:space="preserve">Kas </w:t>
            </w:r>
            <w:proofErr w:type="spellStart"/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>Alzheimeri</w:t>
            </w:r>
            <w:proofErr w:type="spellEnd"/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 xml:space="preserve"> tõvega patsientide ravi ja hoolduse korraldamisel kasutada patsientide </w:t>
            </w:r>
            <w:proofErr w:type="spellStart"/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>kognitsiooni</w:t>
            </w:r>
            <w:proofErr w:type="spellEnd"/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 xml:space="preserve"> ja igapäevategevustega toimetuleku säilitamiseks/parandamiseks ning ohutuse tagamiseks all-loetletud mittefarmakoloogilisi sekkumisi vs. mitte?- Kognitiivne treening/rehabilitatsioon;- Tegevusteraapia (igapäevatoimingute treening);- </w:t>
            </w:r>
            <w:proofErr w:type="spellStart"/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>Multikomponentne</w:t>
            </w:r>
            <w:proofErr w:type="spellEnd"/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 xml:space="preserve"> sekkumine (</w:t>
            </w:r>
            <w:proofErr w:type="spellStart"/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>multicomponenet</w:t>
            </w:r>
            <w:proofErr w:type="spellEnd"/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>intervention</w:t>
            </w:r>
            <w:proofErr w:type="spellEnd"/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 xml:space="preserve">);- loovteraapia;- muusikateraapia;- </w:t>
            </w:r>
            <w:proofErr w:type="spellStart"/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>validatsioonimeetod</w:t>
            </w:r>
            <w:proofErr w:type="spellEnd"/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 xml:space="preserve">;- </w:t>
            </w:r>
            <w:proofErr w:type="spellStart"/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>psühhosotsiaalsed</w:t>
            </w:r>
            <w:proofErr w:type="spellEnd"/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 xml:space="preserve"> sekkumised;</w:t>
            </w:r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 xml:space="preserve"> </w:t>
            </w:r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 xml:space="preserve">- füüsilise keskkonna kohandamine;- </w:t>
            </w:r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>tegevus</w:t>
            </w:r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 xml:space="preserve">- ja </w:t>
            </w:r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>liikumisvabaduse</w:t>
            </w:r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 xml:space="preserve"> </w:t>
            </w:r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>piiramine</w:t>
            </w:r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 xml:space="preserve"> </w:t>
            </w:r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>patsiendi</w:t>
            </w:r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 xml:space="preserve"> </w:t>
            </w:r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>turvalisuse</w:t>
            </w:r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 xml:space="preserve"> </w:t>
            </w:r>
            <w:r w:rsidRPr="039A81E6" w:rsidR="039A81E6">
              <w:rPr>
                <w:rFonts w:ascii="Verdana" w:hAnsi="Verdana" w:eastAsia="Verdana" w:cs="Verdana"/>
                <w:i w:val="1"/>
                <w:iCs w:val="1"/>
                <w:color w:val="548DD4" w:themeColor="text2" w:themeTint="99" w:themeShade="FF"/>
                <w:sz w:val="18"/>
                <w:szCs w:val="18"/>
              </w:rPr>
              <w:t>huvides</w:t>
            </w:r>
          </w:p>
          <w:p w:rsidRPr="00CA2B30" w:rsidR="00CA2B30" w:rsidP="00CA2B30" w:rsidRDefault="00AC6EB1" w14:paraId="1B8C519A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t-EE" w:eastAsia="et-EE"/>
              </w:rPr>
            </w:pPr>
            <w:r w:rsidRPr="039A81E6" w:rsidR="039A81E6">
              <w:rPr>
                <w:rFonts w:ascii="Times New Roman,Verdana" w:hAnsi="Times New Roman,Verdana" w:eastAsia="Times New Roman,Verdana" w:cs="Times New Roman,Verdana"/>
                <w:b w:val="1"/>
                <w:bCs w:val="1"/>
                <w:color w:val="000080"/>
                <w:sz w:val="20"/>
                <w:szCs w:val="20"/>
                <w:lang w:val="fi-FI"/>
              </w:rPr>
              <w:t xml:space="preserve">(EvSu7(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b w:val="1"/>
                <w:bCs w:val="1"/>
                <w:color w:val="000080"/>
                <w:sz w:val="20"/>
                <w:szCs w:val="20"/>
                <w:lang w:val="fi-FI"/>
              </w:rPr>
              <w:t>Kokkuvõte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b w:val="1"/>
                <w:bCs w:val="1"/>
                <w:color w:val="000080"/>
                <w:sz w:val="20"/>
                <w:szCs w:val="20"/>
                <w:lang w:val="fi-FI"/>
              </w:rPr>
              <w:t xml:space="preserve">: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  <w:lang w:val="fi-FI"/>
              </w:rPr>
              <w:t>Leiti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  <w:lang w:val="fi-FI"/>
              </w:rPr>
              <w:t xml:space="preserve"> 9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  <w:lang w:val="fi-FI"/>
              </w:rPr>
              <w:t>süstemaatilist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  <w:lang w:val="fi-FI"/>
              </w:rPr>
              <w:t>ülevaadet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  <w:lang w:val="fi-FI"/>
              </w:rPr>
              <w:t>või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  <w:lang w:val="fi-FI"/>
              </w:rPr>
              <w:t>meta-analüüsi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  <w:lang w:val="fi-FI"/>
              </w:rPr>
              <w:t xml:space="preserve"> (2010-2015)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b w:val="1"/>
                <w:bCs w:val="1"/>
                <w:sz w:val="20"/>
                <w:szCs w:val="20"/>
                <w:lang w:val="fi-FI"/>
              </w:rPr>
              <w:t>Hinnatud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b w:val="1"/>
                <w:bCs w:val="1"/>
                <w:sz w:val="20"/>
                <w:szCs w:val="20"/>
                <w:lang w:val="fi-FI"/>
              </w:rPr>
              <w:t xml:space="preserve"> AMSTAR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b w:val="1"/>
                <w:bCs w:val="1"/>
                <w:sz w:val="20"/>
                <w:szCs w:val="20"/>
                <w:lang w:val="fi-FI"/>
              </w:rPr>
              <w:t>tööriistaga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b w:val="1"/>
                <w:bCs w:val="1"/>
                <w:sz w:val="20"/>
                <w:szCs w:val="20"/>
                <w:lang w:val="fi-FI"/>
              </w:rPr>
              <w:t>,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  <w:lang w:val="fi-FI"/>
              </w:rPr>
              <w:t>mis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  <w:lang w:val="fi-FI"/>
              </w:rPr>
              <w:t>käsitlesid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  <w:lang w:val="fi-FI"/>
              </w:rPr>
              <w:t>mittefarmakoloogilisi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  <w:lang w:val="fi-FI"/>
              </w:rPr>
              <w:t>ravimeetodeid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  <w:lang w:val="fi-FI"/>
              </w:rPr>
              <w:t xml:space="preserve">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Mittefarmakoloogilistel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ravivõtetel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(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kognitsiooniteraapia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multikomponentne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sekkumine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kognitiivne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stimulatsioon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ja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rehabilitatsioon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)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võib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olla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efekt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kognitsiooni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parandamiseks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(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numeratsioon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tähistab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EvSu7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uuringute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jrk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nr.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1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,3,4,5,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8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).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Kusjuures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individuaalse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lähenemise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efekt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on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suurem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kui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grupiteraapial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(3).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Tuuakse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välja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, et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sekkumised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toimivad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vaid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kerge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kuni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mõõduka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dementsusega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patsientidel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raske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dementsusega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patsientidel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ra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kendamine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ei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ole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efektiivne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(4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,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8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).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Kognitiivsel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stimulatsioonil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on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kõige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enam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tõenduspõhiseid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andmeid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kuid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edasised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uuringud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on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vajalikud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kuluefektiivsuse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hindamiseks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 xml:space="preserve"> (5, 8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20"/>
                <w:szCs w:val="20"/>
              </w:rPr>
              <w:t>).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Ühes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ülevaates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oli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positiivne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efekt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vaid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kognitiivsel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rehabilitatsioonil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kuigi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soovitus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põhineb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vaid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ühel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RCT-l (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metaanalüüsi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teha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saanud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) (2).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Kognitiivsel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treeningul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positiivne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efekt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puudus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Toodi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ära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et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võib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olla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isegi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negatiivne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efekt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patsiendi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tuju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alanemise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tõttu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eriti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raskema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dementsusega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patsientidel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(2).</w:t>
            </w:r>
            <w:proofErr w:type="gramStart"/>
            <w:proofErr w:type="gramEnd"/>
            <w:proofErr w:type="gramStart"/>
            <w:proofErr w:type="gramEnd"/>
          </w:p>
          <w:p w:rsidRPr="00CA2B30" w:rsidR="00CA2B30" w:rsidP="00CA2B30" w:rsidRDefault="00CA2B30" w14:paraId="65F54116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ole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fekti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validatsioonimeetodil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(1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,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7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).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Muusikateraapial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on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lühiajaline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efekti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tujule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ja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käitumisele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kuid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pikaajalist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kasu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leitud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(6).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Muusikateraapial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puudub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efekt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kognitsiooni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paranemisele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(1).</w:t>
            </w:r>
            <w:proofErr w:type="gramStart"/>
            <w:proofErr w:type="gramEnd"/>
          </w:p>
          <w:p w:rsidRPr="00CA2B30" w:rsidR="00CA2B30" w:rsidP="00CA2B30" w:rsidRDefault="00CA2B30" w14:paraId="1D39858C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Füüsilise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keskkonna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kohaldamist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ja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tegevus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-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ning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liikumisvabaduse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piiramist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käsitletakse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rohkem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psüühika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- ja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käitumishäirete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kontekstis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leitud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piisavalt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tõendeid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et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soovitada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füüsilise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keskkonna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kohaldamist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käitumishäirete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parandamiseks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(7).</w:t>
            </w:r>
          </w:p>
          <w:p w:rsidRPr="00CA2B30" w:rsidR="00CA2B30" w:rsidP="00CA2B30" w:rsidRDefault="00CA2B30" w14:paraId="4720CF00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Ühes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süstemaatilises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ülevaates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tuuakse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välja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et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füüsilised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harjutused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i w:val="1"/>
                <w:iCs w:val="1"/>
                <w:sz w:val="18"/>
                <w:szCs w:val="18"/>
              </w:rPr>
              <w:t>exercise programs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)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võivad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parandada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igapäevategevustega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(ADL)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toimetulekut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efekt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kognitsioonile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ja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neuropsühiaatrilistele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sümptomitele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puudub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(9).</w:t>
            </w:r>
          </w:p>
          <w:p w:rsidRPr="00CA2B30" w:rsidR="00CA2B30" w:rsidP="00CA2B30" w:rsidRDefault="00CA2B30" w14:paraId="06CC93F5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  <w:u w:val="single"/>
              </w:rPr>
              <w:t>Piirangud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  <w:u w:val="single"/>
              </w:rPr>
              <w:t>: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enamus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uuringuid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on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tehtud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väikses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uuringurühmas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;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mittefarmakoloogiste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ravimeetodite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kontrollrühmas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on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enamasti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"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tavapärase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"(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farmakoloogilise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)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ravi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grupp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mis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teeb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efekti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hindamise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keeruliseks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Tihti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vaadeldakse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mitut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sekkumist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korraga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mistõttu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on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keeruline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selgitada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ühe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konkreetse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sekkumise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efekti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Kaasatud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on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vaid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kerge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kuni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mõõduka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dementsusega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patsiendid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Mõnes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ülevaates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on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hõlmatud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erinevate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diagnoosidega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dementsed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patsiendid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. </w:t>
            </w:r>
          </w:p>
          <w:p w:rsidRPr="00CA2B30" w:rsidR="0007536B" w:rsidP="00CA2B30" w:rsidRDefault="00CA2B30" w14:paraId="50AFD9BD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lang w:val="et-EE" w:eastAsia="et-EE"/>
              </w:rPr>
            </w:pP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Vaadeldud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uuringute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põhjal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saab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soovitada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kognitiivsele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stimulatsioonile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ja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multikomponentsele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sekkumisele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suunatud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meetodeid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mille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võib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olla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efekt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kognitsiooni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paranemisele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kerge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kuni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mõõduka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dementsusega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AT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haigetel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Muudel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sekkumistel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oluline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efekt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puudub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või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on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lühiajaline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.</w:t>
            </w:r>
          </w:p>
          <w:p w:rsidRPr="00CA2B30" w:rsidR="00CA2B30" w:rsidP="00CA2B30" w:rsidRDefault="00CA2B30" w14:paraId="684BEFDC" wp14:textId="77777777">
            <w:pPr>
              <w:jc w:val="both"/>
              <w:rPr>
                <w:rFonts w:ascii="Times New Roman" w:hAnsi="Times New Roman"/>
                <w:lang w:val="et-EE" w:eastAsia="et-EE"/>
              </w:rPr>
            </w:pP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b w:val="1"/>
                <w:bCs w:val="1"/>
                <w:color w:val="000080"/>
                <w:sz w:val="18"/>
                <w:szCs w:val="18"/>
              </w:rPr>
              <w:t>Ravijuhendid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b w:val="1"/>
                <w:bCs w:val="1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b w:val="1"/>
                <w:bCs w:val="1"/>
                <w:color w:val="000080"/>
                <w:sz w:val="18"/>
                <w:szCs w:val="18"/>
              </w:rPr>
              <w:t>Kokkuvõte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b w:val="1"/>
                <w:bCs w:val="1"/>
                <w:color w:val="000080"/>
                <w:sz w:val="18"/>
                <w:szCs w:val="18"/>
              </w:rPr>
              <w:t xml:space="preserve">: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Mittefarmakoloogilist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ravi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käsitletakse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4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Alzheimeri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tõve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(AT)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ravijuhendis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(1-4) ja 2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dementsuse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ravijuhendis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(5, 6)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.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color w:val="000000" w:themeColor="text1" w:themeTint="FF" w:themeShade="FF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Ameerika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Psühhiaatrite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Assotsiatsiooni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2014.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aasta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color w:val="000000" w:themeColor="text1" w:themeTint="FF" w:themeShade="FF"/>
                <w:sz w:val="18"/>
                <w:szCs w:val="18"/>
              </w:rPr>
              <w:t xml:space="preserve"> AT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color w:val="000000" w:themeColor="text1" w:themeTint="FF" w:themeShade="FF"/>
                <w:sz w:val="18"/>
                <w:szCs w:val="18"/>
              </w:rPr>
              <w:t>ravijuhend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color w:val="000000" w:themeColor="text1" w:themeTint="FF" w:themeShade="FF"/>
                <w:sz w:val="18"/>
                <w:szCs w:val="18"/>
              </w:rPr>
              <w:t xml:space="preserve"> on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color w:val="000000" w:themeColor="text1" w:themeTint="FF" w:themeShade="FF"/>
                <w:sz w:val="18"/>
                <w:szCs w:val="18"/>
              </w:rPr>
              <w:t>mittefarmakoloogise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color w:val="000000" w:themeColor="text1" w:themeTint="FF" w:themeShade="FF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color w:val="000000" w:themeColor="text1" w:themeTint="FF" w:themeShade="FF"/>
                <w:sz w:val="18"/>
                <w:szCs w:val="18"/>
              </w:rPr>
              <w:t>ravi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color w:val="000000" w:themeColor="text1" w:themeTint="FF" w:themeShade="FF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color w:val="000000" w:themeColor="text1" w:themeTint="FF" w:themeShade="FF"/>
                <w:sz w:val="18"/>
                <w:szCs w:val="18"/>
              </w:rPr>
              <w:t>osas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color w:val="000000" w:themeColor="text1" w:themeTint="FF" w:themeShade="FF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color w:val="000000" w:themeColor="text1" w:themeTint="FF" w:themeShade="FF"/>
                <w:sz w:val="18"/>
                <w:szCs w:val="18"/>
              </w:rPr>
              <w:t>kõige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color w:val="000000" w:themeColor="text1" w:themeTint="FF" w:themeShade="FF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color w:val="000000" w:themeColor="text1" w:themeTint="FF" w:themeShade="FF"/>
                <w:sz w:val="18"/>
                <w:szCs w:val="18"/>
              </w:rPr>
              <w:t>põhjalikum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color w:val="000000" w:themeColor="text1" w:themeTint="FF" w:themeShade="FF"/>
                <w:sz w:val="18"/>
                <w:szCs w:val="18"/>
              </w:rPr>
              <w:t>.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  <w:u w:val="single"/>
              </w:rPr>
              <w:t>Kognitsioonile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suunatud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sekkumised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reaalsusele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orientatsioon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oskuste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treening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ja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rehabilitatsioon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) -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leiti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mõningane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ja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ajutine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positiivne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efekt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kuid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kokkuvõttes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tasu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ravi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kulukus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ja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võimalik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kõrvaltoimete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risk (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tõusnud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frustratsioon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viha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depressioon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) end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ära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(III) (4).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Samale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järeldusele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jõuab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Canadian Medical Association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dementsuse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ravijuhend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: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ole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piisavalt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tõendeid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et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kognitiivne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treening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rehabilitatsioon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omaks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efekti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kognitsiooni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parandamises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ja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säilitamises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kerge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kuni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mõõduka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dementsuse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korral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(5).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Kognitsiooni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treeningu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efektiivsus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pole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piisavalt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tõestatud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võib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põhjustada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patsientidel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pigem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frustratsiooni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(II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)(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3).</w:t>
            </w:r>
            <w:proofErr w:type="gramStart"/>
            <w:proofErr w:type="gramEnd"/>
            <w:proofErr w:type="gramStart"/>
            <w:proofErr w:type="gramEnd"/>
          </w:p>
          <w:p w:rsidRPr="00CA2B30" w:rsidR="00CA2B30" w:rsidP="00CA2B30" w:rsidRDefault="00CA2B30" w14:paraId="6954D968" wp14:textId="7777777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Igapäevatoimingute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treening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ja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füüsilise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keskkonna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kohaldamine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i w:val="1"/>
                <w:iCs w:val="1"/>
                <w:sz w:val="18"/>
                <w:szCs w:val="18"/>
              </w:rPr>
              <w:t>occupational therapy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)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parandab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patsientide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funktsionaalset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võimekust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(II) (1). Canadian Medical Association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dementsuse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ravijuhendis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leiti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positiivset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efekti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ADL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treeningul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kuid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soovituste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tegemiseks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puudub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piisav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informatsioon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(5).</w:t>
            </w:r>
          </w:p>
          <w:p w:rsidRPr="00CA2B30" w:rsidR="00CA2B30" w:rsidP="00CA2B30" w:rsidRDefault="00CA2B30" w14:paraId="0AD45434" wp14:textId="7777777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  <w:u w:val="single"/>
              </w:rPr>
              <w:t>Emotsioonile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suunatud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sekkumised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(Reminiscence,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valitatsioonimeetod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toetav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psühhoteraapia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sensoorne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integratsioon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i w:val="1"/>
                <w:iCs w:val="1"/>
                <w:sz w:val="18"/>
                <w:szCs w:val="18"/>
              </w:rPr>
              <w:t>simulated presence therapy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)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omanud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kliiniliselt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olulist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efekti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kognitsiooni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meeleolu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ega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käitumise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osas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(III) (4).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Validatsioonimeetodi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ja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reminescence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efektiivsuse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kohta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on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vastakaid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andmeid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ja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saa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kindlalt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soovitada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(3).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Algstaadiumis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patsientidele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võib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psühhoteraapia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grupis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oma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kogemuste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jagamine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)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vähendada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depressiooni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Harimine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psühhosotsiaalne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tugi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nii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patsiendile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kui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omastele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omab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positiivset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efekti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kognitsioonile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meeleolule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tervisele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enesehinnangule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ja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stressile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(2).</w:t>
            </w:r>
          </w:p>
          <w:p w:rsidRPr="00CA2B30" w:rsidR="00CA2B30" w:rsidP="00CA2B30" w:rsidRDefault="00CA2B30" w14:paraId="4DE2E73D" wp14:textId="7777777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  <w:u w:val="single"/>
              </w:rPr>
              <w:t>Käitumisele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suunatud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sekkumised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võivad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olla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efektiivsed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meeleolu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ja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käitumishäirete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agressiivne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käitumine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)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korral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Samas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näidati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et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efekt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püsib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vaid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nii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kaua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kuni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kestab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interventsioon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Käitumishäirete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ravis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soovitatakse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esmalt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proovida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mittefarmakoloogilisi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sekkumisi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(II) (4).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Lähemalt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tuleb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käsitlemisele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kliinilise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küsimuse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nr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. 12 all. </w:t>
            </w:r>
          </w:p>
          <w:p w:rsidR="00CA2B30" w:rsidP="00CA2B30" w:rsidRDefault="00CA2B30" w14:paraId="5262AFE6" wp14:textId="77777777">
            <w:pPr>
              <w:jc w:val="both"/>
              <w:rPr>
                <w:rFonts w:ascii="Times New Roman" w:hAnsi="Times New Roman" w:eastAsia="Verdana"/>
                <w:sz w:val="18"/>
                <w:szCs w:val="18"/>
              </w:rPr>
            </w:pP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  <w:u w:val="single"/>
              </w:rPr>
              <w:t>Stimulatsioonile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suunatud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sekkumised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mängud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lemmikloomad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muusikateraapia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kunst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füüsilised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harjutused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multisensoorne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stimulatsioon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aroomiteraapia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,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i w:val="1"/>
                <w:iCs w:val="1"/>
                <w:sz w:val="18"/>
                <w:szCs w:val="18"/>
              </w:rPr>
              <w:t xml:space="preserve"> simulated presence therapy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)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vähendavad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käitumishäireid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agitatsioon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) ja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parandavad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meeleolu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Tõenduspõhisus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on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vähene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kuid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i w:val="1"/>
                <w:iCs w:val="1"/>
                <w:sz w:val="18"/>
                <w:szCs w:val="18"/>
              </w:rPr>
              <w:t xml:space="preserve">common sense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soovitab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kaasata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dementse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patsiendi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ravisse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(II) (4).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Individualiseeritud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treeningprogrammid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i w:val="1"/>
                <w:iCs w:val="1"/>
                <w:sz w:val="18"/>
                <w:szCs w:val="18"/>
              </w:rPr>
              <w:t>exercise programs</w:t>
            </w:r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)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parandavad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kerge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kuni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keskmise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raskusega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dementsetel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funktsionaalset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sooritust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Füüsilised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harjutused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parandavad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kognitsiooni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meeleolu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und ja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funktsionaalset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võimekust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vähendavad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käitumishäireid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(2, 5).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Muusikateraapia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ja reminiscence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võivad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parandada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sotsiaalseid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suhteid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emotsionaalseid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oskuseid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ja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vähendada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käitumishäireid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(2). </w:t>
            </w:r>
          </w:p>
          <w:p w:rsidR="00CA2B30" w:rsidP="00CA2B30" w:rsidRDefault="00CA2B30" w14:paraId="7368CF65" wp14:textId="77777777">
            <w:pPr>
              <w:jc w:val="both"/>
              <w:rPr>
                <w:rFonts w:ascii="Times New Roman" w:hAnsi="Times New Roman" w:eastAsia="Verdana"/>
                <w:sz w:val="18"/>
                <w:szCs w:val="18"/>
              </w:rPr>
            </w:pPr>
            <w:r w:rsidRPr="039A81E6" w:rsidR="039A81E6">
              <w:rPr>
                <w:rFonts w:ascii="Times New Roman,Verdana" w:hAnsi="Times New Roman,Verdana" w:eastAsia="Times New Roman,Verdana" w:cs="Times New Roman,Verdana"/>
                <w:b w:val="1"/>
                <w:bCs w:val="1"/>
                <w:sz w:val="18"/>
                <w:szCs w:val="18"/>
              </w:rPr>
              <w:t xml:space="preserve">NICE 2014.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b w:val="1"/>
                <w:bCs w:val="1"/>
                <w:sz w:val="18"/>
                <w:szCs w:val="18"/>
              </w:rPr>
              <w:t>aastal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uuendatud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ravijuhendis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öeldakse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et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kognitiivsel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stimulatsioonil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võib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olla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efekt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kognitisooni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säilitamisel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ja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tuleks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soovitada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kerge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kuni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mõõduka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dementsusega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haigetele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sõltumata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põhjusest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(6). </w:t>
            </w:r>
            <w:proofErr w:type="gramStart"/>
            <w:proofErr w:type="gramEnd"/>
          </w:p>
          <w:p w:rsidR="00CA2B30" w:rsidP="00CA2B30" w:rsidRDefault="00CA2B30" w14:paraId="4284D803" wp14:textId="77777777">
            <w:pPr>
              <w:jc w:val="both"/>
              <w:rPr>
                <w:rFonts w:ascii="Times New Roman" w:hAnsi="Times New Roman" w:eastAsia="Verdana"/>
                <w:sz w:val="18"/>
                <w:szCs w:val="18"/>
              </w:rPr>
            </w:pPr>
            <w:r w:rsidRPr="039A81E6" w:rsidR="039A81E6">
              <w:rPr>
                <w:rFonts w:ascii="Times New Roman,Verdana" w:hAnsi="Times New Roman,Verdana" w:eastAsia="Times New Roman,Verdana" w:cs="Times New Roman,Verdana"/>
                <w:b w:val="1"/>
                <w:bCs w:val="1"/>
                <w:sz w:val="18"/>
                <w:szCs w:val="18"/>
              </w:rPr>
              <w:t xml:space="preserve">EFNS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b w:val="1"/>
                <w:bCs w:val="1"/>
                <w:sz w:val="18"/>
                <w:szCs w:val="18"/>
              </w:rPr>
              <w:t>ravijuhendis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tuuakse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välja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et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kognitiivne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stimulatsioon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võib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omada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efekti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kerge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kuni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mõõduka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raskusega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AT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patsiendi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mittefarmakoloogilises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ravis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–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hea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praktika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tava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soovitus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(1). </w:t>
            </w:r>
          </w:p>
          <w:p w:rsidR="006116B2" w:rsidP="006116B2" w:rsidRDefault="00CA2B30" w14:paraId="494E4DD6" wp14:textId="77777777">
            <w:pPr>
              <w:jc w:val="both"/>
              <w:rPr>
                <w:rFonts w:ascii="Times New Roman" w:hAnsi="Times New Roman" w:eastAsia="Verdana"/>
                <w:sz w:val="18"/>
                <w:szCs w:val="18"/>
              </w:rPr>
            </w:pPr>
            <w:r w:rsidRPr="039A81E6" w:rsidR="039A81E6">
              <w:rPr>
                <w:rFonts w:ascii="Times New Roman,Verdana" w:hAnsi="Times New Roman,Verdana" w:eastAsia="Times New Roman,Verdana" w:cs="Times New Roman,Verdana"/>
                <w:b w:val="1"/>
                <w:bCs w:val="1"/>
                <w:sz w:val="18"/>
                <w:szCs w:val="18"/>
              </w:rPr>
              <w:t xml:space="preserve">California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b w:val="1"/>
                <w:bCs w:val="1"/>
                <w:sz w:val="18"/>
                <w:szCs w:val="18"/>
              </w:rPr>
              <w:t>workgroupi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ravijuhendis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leiti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, et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kognitiivne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stimulatsioon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koos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farmakoloogilise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raviga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on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efektiivsem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kui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farmakoteraapia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</w:t>
            </w:r>
            <w:proofErr w:type="spellStart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>üksinda</w:t>
            </w:r>
            <w:proofErr w:type="spellEnd"/>
            <w:r w:rsidRPr="039A81E6" w:rsidR="039A81E6">
              <w:rPr>
                <w:rFonts w:ascii="Times New Roman,Verdana" w:hAnsi="Times New Roman,Verdana" w:eastAsia="Times New Roman,Verdana" w:cs="Times New Roman,Verdana"/>
                <w:sz w:val="18"/>
                <w:szCs w:val="18"/>
              </w:rPr>
              <w:t xml:space="preserve"> (2).</w:t>
            </w:r>
          </w:p>
          <w:p w:rsidR="006116B2" w:rsidP="006116B2" w:rsidRDefault="006116B2" w14:paraId="77CA299B" wp14:textId="77777777">
            <w:pPr>
              <w:jc w:val="both"/>
              <w:rPr>
                <w:rFonts w:ascii="Times New Roman" w:hAnsi="Times New Roman" w:eastAsia="Verdana"/>
                <w:sz w:val="18"/>
                <w:szCs w:val="18"/>
              </w:rPr>
            </w:pPr>
          </w:p>
          <w:p w:rsidRPr="006116B2" w:rsidR="00B21B39" w:rsidP="006116B2" w:rsidRDefault="00B21B39" w14:paraId="648F662E" wp14:textId="77777777">
            <w:pPr>
              <w:jc w:val="both"/>
              <w:rPr>
                <w:rFonts w:ascii="Times New Roman" w:hAnsi="Times New Roman" w:eastAsia="Verdana"/>
                <w:sz w:val="18"/>
                <w:szCs w:val="18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Töö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rühm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on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formuleeritud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GRADE 7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tabelis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soovitused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Soovitused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jäävad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veel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kinnitamata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. </w:t>
            </w:r>
          </w:p>
          <w:p w:rsidRPr="006116B2" w:rsidR="006116B2" w:rsidP="039A81E6" w:rsidRDefault="006116B2" w14:paraId="71AD0A2D" wp14:textId="77777777">
            <w:pPr>
              <w:pStyle w:val="ListParagraph"/>
              <w:numPr>
                <w:ilvl w:val="0"/>
                <w:numId w:val="14"/>
              </w:numPr>
              <w:contextualSpacing/>
              <w:jc w:val="both"/>
              <w:rPr>
                <w:rFonts w:ascii="Arial Narrow,Arial,Times New Roman" w:hAnsi="Arial Narrow,Arial,Times New Roman" w:eastAsia="Arial Narrow,Arial,Times New Roman" w:cs="Arial Narrow,Arial,Times New Roman"/>
                <w:b w:val="1"/>
                <w:bCs w:val="1"/>
                <w:color w:val="548DD4" w:themeColor="text2" w:themeTint="99"/>
                <w:sz w:val="20"/>
                <w:szCs w:val="20"/>
              </w:rPr>
            </w:pPr>
            <w:proofErr w:type="spellStart"/>
            <w:r w:rsidRPr="039A81E6" w:rsidR="039A81E6">
              <w:rPr>
                <w:rFonts w:ascii="Arial Narrow,Arial,Times New Roman" w:hAnsi="Arial Narrow,Arial,Times New Roman" w:eastAsia="Arial Narrow,Arial,Times New Roman" w:cs="Arial Narrow,Arial,Times New Roman"/>
                <w:b w:val="1"/>
                <w:bCs w:val="1"/>
                <w:color w:val="548DD4" w:themeColor="text2" w:themeTint="99" w:themeShade="FF"/>
                <w:sz w:val="20"/>
                <w:szCs w:val="20"/>
              </w:rPr>
              <w:t>Alzheimeri</w:t>
            </w:r>
            <w:proofErr w:type="spellEnd"/>
            <w:r w:rsidRPr="039A81E6" w:rsidR="039A81E6">
              <w:rPr>
                <w:rFonts w:ascii="Arial Narrow,Arial,Times New Roman" w:hAnsi="Arial Narrow,Arial,Times New Roman" w:eastAsia="Arial Narrow,Arial,Times New Roman" w:cs="Arial Narrow,Arial,Times New Roman"/>
                <w:b w:val="1"/>
                <w:bCs w:val="1"/>
                <w:color w:val="548DD4" w:themeColor="text2" w:themeTint="99" w:themeShade="FF"/>
                <w:sz w:val="20"/>
                <w:szCs w:val="20"/>
              </w:rPr>
              <w:t xml:space="preserve"> tõvega patsientidele on soovitav kognitiivse stimulatsioonile suunatud sekkumised</w:t>
            </w:r>
            <w:r w:rsidRPr="039A81E6" w:rsidR="039A81E6">
              <w:rPr>
                <w:rFonts w:ascii="Arial Narrow,Arial,Times New Roman" w:hAnsi="Arial Narrow,Arial,Times New Roman" w:eastAsia="Arial Narrow,Arial,Times New Roman" w:cs="Arial Narrow,Arial,Times New Roman"/>
                <w:b w:val="1"/>
                <w:bCs w:val="1"/>
                <w:color w:val="548DD4" w:themeColor="text2" w:themeTint="99" w:themeShade="FF"/>
                <w:sz w:val="20"/>
                <w:szCs w:val="20"/>
              </w:rPr>
              <w:t>.</w:t>
            </w:r>
            <w:r w:rsidRPr="039A81E6" w:rsidR="039A81E6">
              <w:rPr>
                <w:rFonts w:ascii="Arial Narrow,Arial,Times New Roman" w:hAnsi="Arial Narrow,Arial,Times New Roman" w:eastAsia="Arial Narrow,Arial,Times New Roman" w:cs="Arial Narrow,Arial,Times New Roman"/>
                <w:b w:val="1"/>
                <w:bCs w:val="1"/>
                <w:color w:val="548DD4" w:themeColor="text2" w:themeTint="99" w:themeShade="FF"/>
                <w:sz w:val="20"/>
                <w:szCs w:val="20"/>
              </w:rPr>
              <w:t xml:space="preserve"> </w:t>
            </w:r>
          </w:p>
          <w:p w:rsidRPr="006116B2" w:rsidR="006116B2" w:rsidP="039A81E6" w:rsidRDefault="006116B2" w14:paraId="7B9A5FA8" wp14:textId="77777777" wp14:noSpellErr="1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 Narrow,Arial,Times New Roman" w:hAnsi="Arial Narrow,Arial,Times New Roman" w:eastAsia="Arial Narrow,Arial,Times New Roman" w:cs="Arial Narrow,Arial,Times New Roman"/>
                <w:b w:val="1"/>
                <w:bCs w:val="1"/>
                <w:color w:val="548DD4" w:themeColor="text2" w:themeTint="99"/>
                <w:sz w:val="20"/>
                <w:szCs w:val="20"/>
              </w:rPr>
            </w:pPr>
            <w:r w:rsidRPr="039A81E6" w:rsidR="039A81E6">
              <w:rPr>
                <w:rFonts w:ascii="Arial Narrow,Arial,Times New Roman" w:hAnsi="Arial Narrow,Arial,Times New Roman" w:eastAsia="Arial Narrow,Arial,Times New Roman" w:cs="Arial Narrow,Arial,Times New Roman"/>
                <w:b w:val="1"/>
                <w:bCs w:val="1"/>
                <w:color w:val="548DD4" w:themeColor="text2" w:themeTint="99" w:themeShade="FF"/>
                <w:sz w:val="20"/>
                <w:szCs w:val="20"/>
              </w:rPr>
              <w:t>Individuaalne lähenemine on mõjusam kui grupiteraapia.</w:t>
            </w:r>
          </w:p>
          <w:p w:rsidRPr="006116B2" w:rsidR="006116B2" w:rsidP="039A81E6" w:rsidRDefault="006116B2" w14:paraId="5430E22E" wp14:textId="77777777">
            <w:pPr>
              <w:pStyle w:val="ListParagraph"/>
              <w:numPr>
                <w:ilvl w:val="0"/>
                <w:numId w:val="14"/>
              </w:numPr>
              <w:contextualSpacing/>
              <w:jc w:val="both"/>
              <w:rPr>
                <w:rFonts w:ascii="Arial Narrow,Arial,Times New Roman" w:hAnsi="Arial Narrow,Arial,Times New Roman" w:eastAsia="Arial Narrow,Arial,Times New Roman" w:cs="Arial Narrow,Arial,Times New Roman"/>
                <w:b w:val="1"/>
                <w:bCs w:val="1"/>
                <w:color w:val="548DD4" w:themeColor="text2" w:themeTint="99"/>
                <w:sz w:val="20"/>
                <w:szCs w:val="20"/>
              </w:rPr>
            </w:pPr>
            <w:proofErr w:type="spellStart"/>
            <w:r w:rsidRPr="039A81E6" w:rsidR="039A81E6">
              <w:rPr>
                <w:rFonts w:ascii="Arial Narrow,Arial,Times New Roman" w:hAnsi="Arial Narrow,Arial,Times New Roman" w:eastAsia="Arial Narrow,Arial,Times New Roman" w:cs="Arial Narrow,Arial,Times New Roman"/>
                <w:b w:val="1"/>
                <w:bCs w:val="1"/>
                <w:color w:val="548DD4" w:themeColor="text2" w:themeTint="99" w:themeShade="FF"/>
                <w:sz w:val="20"/>
                <w:szCs w:val="20"/>
              </w:rPr>
              <w:t>Kognitsiooni</w:t>
            </w:r>
            <w:proofErr w:type="spellEnd"/>
            <w:r w:rsidRPr="039A81E6" w:rsidR="039A81E6">
              <w:rPr>
                <w:rFonts w:ascii="Arial Narrow,Arial,Times New Roman" w:hAnsi="Arial Narrow,Arial,Times New Roman" w:eastAsia="Arial Narrow,Arial,Times New Roman" w:cs="Arial Narrow,Arial,Times New Roman"/>
                <w:b w:val="1"/>
                <w:bCs w:val="1"/>
                <w:color w:val="548DD4" w:themeColor="text2" w:themeTint="99" w:themeShade="FF"/>
                <w:sz w:val="20"/>
                <w:szCs w:val="20"/>
              </w:rPr>
              <w:t xml:space="preserve"> stimulatsioonile suunatud sekkumised on efektiivsemad kerge ja mõõduka dementsuse korral.</w:t>
            </w:r>
          </w:p>
          <w:p w:rsidRPr="006116B2" w:rsidR="006116B2" w:rsidP="039A81E6" w:rsidRDefault="006116B2" w14:paraId="65C651B8" wp14:textId="77777777" wp14:noSpellErr="1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 Narrow,Arial,Times New Roman" w:hAnsi="Arial Narrow,Arial,Times New Roman" w:eastAsia="Arial Narrow,Arial,Times New Roman" w:cs="Arial Narrow,Arial,Times New Roman"/>
                <w:b w:val="1"/>
                <w:bCs w:val="1"/>
                <w:color w:val="548DD4" w:themeColor="text2" w:themeTint="99"/>
                <w:sz w:val="20"/>
                <w:szCs w:val="20"/>
              </w:rPr>
            </w:pPr>
            <w:r w:rsidRPr="039A81E6" w:rsidR="039A81E6">
              <w:rPr>
                <w:rFonts w:ascii="Arial Narrow,Arial,Times New Roman" w:hAnsi="Arial Narrow,Arial,Times New Roman" w:eastAsia="Arial Narrow,Arial,Times New Roman" w:cs="Arial Narrow,Arial,Times New Roman"/>
                <w:b w:val="1"/>
                <w:bCs w:val="1"/>
                <w:color w:val="548DD4" w:themeColor="text2" w:themeTint="99" w:themeShade="FF"/>
                <w:sz w:val="20"/>
                <w:szCs w:val="20"/>
              </w:rPr>
              <w:t>Igapäevatoimetuleku säilitamiseks soovitame regulaarset füüsilist aktiivsust.</w:t>
            </w:r>
          </w:p>
          <w:p w:rsidRPr="006116B2" w:rsidR="006116B2" w:rsidP="039A81E6" w:rsidRDefault="006116B2" w14:paraId="0F1B5D8E" wp14:textId="77777777" wp14:noSpellErr="1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 Narrow,Arial,Times New Roman" w:hAnsi="Arial Narrow,Arial,Times New Roman" w:eastAsia="Arial Narrow,Arial,Times New Roman" w:cs="Arial Narrow,Arial,Times New Roman"/>
                <w:b w:val="1"/>
                <w:bCs w:val="1"/>
                <w:color w:val="548DD4" w:themeColor="text2" w:themeTint="99"/>
                <w:sz w:val="20"/>
                <w:szCs w:val="20"/>
              </w:rPr>
            </w:pPr>
            <w:r w:rsidRPr="039A81E6" w:rsidR="039A81E6">
              <w:rPr>
                <w:rFonts w:ascii="Arial Narrow,Arial,Times New Roman" w:hAnsi="Arial Narrow,Arial,Times New Roman" w:eastAsia="Arial Narrow,Arial,Times New Roman" w:cs="Arial Narrow,Arial,Times New Roman"/>
                <w:b w:val="1"/>
                <w:bCs w:val="1"/>
                <w:color w:val="548DD4" w:themeColor="text2" w:themeTint="99" w:themeShade="FF"/>
                <w:sz w:val="20"/>
                <w:szCs w:val="20"/>
              </w:rPr>
              <w:t xml:space="preserve">Elukvaliteedi säilitamiseks võib kasutada muusikateraapiat, mille efekt on tõenäoliselt lühiaegne. </w:t>
            </w:r>
          </w:p>
          <w:p w:rsidRPr="006116B2" w:rsidR="006116B2" w:rsidP="00102C51" w:rsidRDefault="006116B2" w14:paraId="3708AF15" wp14:textId="77777777">
            <w:pPr>
              <w:pStyle w:val="ListParagraph"/>
              <w:ind w:left="94"/>
              <w:contextualSpacing/>
              <w:jc w:val="both"/>
              <w:rPr>
                <w:color w:val="548DD4" w:themeColor="text2" w:themeTint="99"/>
              </w:rPr>
            </w:pPr>
            <w:r w:rsidRPr="039A81E6" w:rsidR="039A81E6">
              <w:rPr>
                <w:rFonts w:ascii="Arial Narrow,Arial,Times New Roman" w:hAnsi="Arial Narrow,Arial,Times New Roman" w:eastAsia="Arial Narrow,Arial,Times New Roman" w:cs="Arial Narrow,Arial,Times New Roman"/>
                <w:b w:val="1"/>
                <w:bCs w:val="1"/>
                <w:color w:val="548DD4" w:themeColor="text2" w:themeTint="99" w:themeShade="FF"/>
                <w:sz w:val="20"/>
                <w:szCs w:val="20"/>
              </w:rPr>
              <w:t>6.</w:t>
            </w:r>
            <w:r w:rsidRPr="039A81E6" w:rsidR="039A81E6">
              <w:rPr>
                <w:rFonts w:ascii="Arial Narrow,Arial,Times New Roman" w:hAnsi="Arial Narrow,Arial,Times New Roman" w:eastAsia="Arial Narrow,Arial,Times New Roman" w:cs="Arial Narrow,Arial,Times New Roman"/>
                <w:b w:val="1"/>
                <w:bCs w:val="1"/>
                <w:color w:val="548DD4" w:themeColor="text2" w:themeTint="99" w:themeShade="FF"/>
                <w:sz w:val="20"/>
                <w:szCs w:val="20"/>
              </w:rPr>
              <w:t xml:space="preserve"> </w:t>
            </w:r>
            <w:r w:rsidRPr="039A81E6" w:rsidR="039A81E6">
              <w:rPr>
                <w:rFonts w:ascii="Arial Narrow,Arial,Times New Roman" w:hAnsi="Arial Narrow,Arial,Times New Roman" w:eastAsia="Arial Narrow,Arial,Times New Roman" w:cs="Arial Narrow,Arial,Times New Roman"/>
                <w:b w:val="1"/>
                <w:bCs w:val="1"/>
                <w:color w:val="548DD4" w:themeColor="text2" w:themeTint="99" w:themeShade="FF"/>
                <w:sz w:val="20"/>
                <w:szCs w:val="20"/>
              </w:rPr>
              <w:t xml:space="preserve">HEA TAVA SOOVITUS – </w:t>
            </w:r>
            <w:r w:rsidRPr="039A81E6" w:rsidR="039A81E6">
              <w:rPr>
                <w:rFonts w:ascii="Arial Narrow,Arial,Times New Roman" w:hAnsi="Arial Narrow,Arial,Times New Roman" w:eastAsia="Arial Narrow,Arial,Times New Roman" w:cs="Arial Narrow,Arial,Times New Roman"/>
                <w:b w:val="1"/>
                <w:bCs w:val="1"/>
                <w:color w:val="548DD4" w:themeColor="text2" w:themeTint="99" w:themeShade="FF"/>
                <w:sz w:val="20"/>
                <w:szCs w:val="20"/>
              </w:rPr>
              <w:t xml:space="preserve">Eelistatud on </w:t>
            </w:r>
            <w:proofErr w:type="spellStart"/>
            <w:r w:rsidRPr="039A81E6" w:rsidR="039A81E6">
              <w:rPr>
                <w:rFonts w:ascii="Arial Narrow,Arial,Times New Roman" w:hAnsi="Arial Narrow,Arial,Times New Roman" w:eastAsia="Arial Narrow,Arial,Times New Roman" w:cs="Arial Narrow,Arial,Times New Roman"/>
                <w:b w:val="1"/>
                <w:bCs w:val="1"/>
                <w:color w:val="548DD4" w:themeColor="text2" w:themeTint="99" w:themeShade="FF"/>
                <w:sz w:val="20"/>
                <w:szCs w:val="20"/>
              </w:rPr>
              <w:t>m</w:t>
            </w:r>
            <w:r w:rsidRPr="039A81E6" w:rsidR="039A81E6">
              <w:rPr>
                <w:rFonts w:ascii="Arial Narrow,Arial,Times New Roman" w:hAnsi="Arial Narrow,Arial,Times New Roman" w:eastAsia="Arial Narrow,Arial,Times New Roman" w:cs="Arial Narrow,Arial,Times New Roman"/>
                <w:b w:val="1"/>
                <w:bCs w:val="1"/>
                <w:color w:val="548DD4" w:themeColor="text2" w:themeTint="99" w:themeShade="FF"/>
                <w:sz w:val="20"/>
                <w:szCs w:val="20"/>
              </w:rPr>
              <w:t>ultikomponentne</w:t>
            </w:r>
            <w:proofErr w:type="spellEnd"/>
            <w:r w:rsidRPr="039A81E6" w:rsidR="039A81E6">
              <w:rPr>
                <w:rFonts w:ascii="Arial Narrow,Arial,Times New Roman" w:hAnsi="Arial Narrow,Arial,Times New Roman" w:eastAsia="Arial Narrow,Arial,Times New Roman" w:cs="Arial Narrow,Arial,Times New Roman"/>
                <w:b w:val="1"/>
                <w:bCs w:val="1"/>
                <w:color w:val="548DD4" w:themeColor="text2" w:themeTint="99" w:themeShade="FF"/>
                <w:sz w:val="20"/>
                <w:szCs w:val="20"/>
              </w:rPr>
              <w:t xml:space="preserve"> ja </w:t>
            </w:r>
            <w:proofErr w:type="spellStart"/>
            <w:r w:rsidRPr="039A81E6" w:rsidR="039A81E6">
              <w:rPr>
                <w:rFonts w:ascii="Arial Narrow,Arial,Times New Roman" w:hAnsi="Arial Narrow,Arial,Times New Roman" w:eastAsia="Arial Narrow,Arial,Times New Roman" w:cs="Arial Narrow,Arial,Times New Roman"/>
                <w:b w:val="1"/>
                <w:bCs w:val="1"/>
                <w:color w:val="548DD4" w:themeColor="text2" w:themeTint="99" w:themeShade="FF"/>
                <w:sz w:val="20"/>
                <w:szCs w:val="20"/>
              </w:rPr>
              <w:t>psühhosotsiaalne</w:t>
            </w:r>
            <w:proofErr w:type="spellEnd"/>
            <w:r w:rsidRPr="039A81E6" w:rsidR="039A81E6">
              <w:rPr>
                <w:rFonts w:ascii="Arial Narrow,Arial,Times New Roman" w:hAnsi="Arial Narrow,Arial,Times New Roman" w:eastAsia="Arial Narrow,Arial,Times New Roman" w:cs="Arial Narrow,Arial,Times New Roman"/>
                <w:b w:val="1"/>
                <w:bCs w:val="1"/>
                <w:color w:val="548DD4" w:themeColor="text2" w:themeTint="99" w:themeShade="FF"/>
                <w:sz w:val="20"/>
                <w:szCs w:val="20"/>
              </w:rPr>
              <w:t xml:space="preserve"> individuaalne lähenemine. </w:t>
            </w:r>
          </w:p>
          <w:p w:rsidR="00B21B39" w:rsidP="00966149" w:rsidRDefault="006116B2" w14:paraId="1C517F8E" wp14:textId="77777777">
            <w:pPr>
              <w:jc w:val="both"/>
              <w:rPr>
                <w:rFonts w:ascii="Times New Roman" w:hAnsi="Times New Roman"/>
                <w:lang w:val="fi-FI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Lisaks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:-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Täiendavalt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otsida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veel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uuringuid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psühhosotsiaalse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sekkumise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kohta –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mitteintensiivsel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meetodil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laiendada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otsinguid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alates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2000.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aastast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. </w:t>
            </w:r>
          </w:p>
          <w:p w:rsidRPr="005A3718" w:rsidR="00102C51" w:rsidP="00966149" w:rsidRDefault="00102C51" w14:paraId="59223E32" wp14:textId="77777777">
            <w:pPr>
              <w:jc w:val="both"/>
              <w:rPr>
                <w:rFonts w:ascii="Times New Roman" w:hAnsi="Times New Roman"/>
                <w:lang w:val="fi-FI"/>
              </w:rPr>
            </w:pPr>
          </w:p>
          <w:p w:rsidR="00B21B39" w:rsidP="039A81E6" w:rsidRDefault="00B21B39" w14:paraId="7EF869E5" wp14:textId="77777777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eastAsia="Times New Roman" w:cs="Times New Roman"/>
                <w:lang w:val="fi-FI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Ülle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Krikmann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– 9.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kliinilise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küsimuse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arutelu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Täidetakse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GRADE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9,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sõnastatakse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soovitused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.</w:t>
            </w:r>
          </w:p>
          <w:p w:rsidR="006116B2" w:rsidP="008809D6" w:rsidRDefault="00E1643D" w14:paraId="2E55E1C9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548DD4" w:themeColor="text2" w:themeTint="99"/>
                <w:szCs w:val="27"/>
              </w:rPr>
            </w:pPr>
            <w:proofErr w:type="gramStart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>9.</w:t>
            </w:r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>Kas</w:t>
            </w:r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>Alzheimeri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>tõvega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>patsientide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>ravis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>kasutada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>parema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>ravitulemuse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>saavutamiseks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>atsetüülkoliini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>esteraasi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>inhibiitorit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 xml:space="preserve"> vs.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>memantiini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 xml:space="preserve"> vs.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>kombinatsioonravi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i w:val="1"/>
                <w:iCs w:val="1"/>
                <w:color w:val="548DD4" w:themeColor="text2" w:themeTint="99" w:themeShade="FF"/>
              </w:rPr>
              <w:t>?</w:t>
            </w:r>
            <w:proofErr w:type="gramEnd"/>
          </w:p>
          <w:p w:rsidR="00AC6EB1" w:rsidP="00311A48" w:rsidRDefault="00AC6EB1" w14:paraId="0793D0E8" wp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7"/>
              </w:rPr>
            </w:pP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(EvSu9)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Kokkuvõte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: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Praktikas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on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k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asutusel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koliinesteraasi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(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ChEIs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)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inhibiitorid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(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donepesiil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galantamiin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takriin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ja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rivastigmiin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) ja N-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metüül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D-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aspartatat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retseptori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antagonist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memantiin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.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Kasutamine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põhineb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nii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uuringutel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kui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metaanalüüsidel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.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.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gramStart"/>
            <w:proofErr w:type="gramEnd"/>
          </w:p>
          <w:p w:rsidRPr="00366BFF" w:rsidR="008809D6" w:rsidP="00AC6EB1" w:rsidRDefault="008809D6" w14:paraId="0A7ABD10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Leitud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mõned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süstemaatilis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ed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uuringu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: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“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Defining optimal treatment with cholinesterase inhibitors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”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. </w:t>
            </w:r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>Small G</w:t>
            </w:r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>jt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>(</w:t>
            </w:r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>2011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)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uuringu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on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ChEIs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tõestanud efektiivsust igapäevaeluga toimetuleku, käitumise ja kognitiivse funkts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iooni paranemise osas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. Varases ALZ staadiumis ravi alustamise kohta on avatud uuringud nii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donepesiili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rivastigmiini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ja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galantamiini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osas näidanud elukvaliteedi ja iseseisvuse säilitamist. Optimaalne ravi doos ja ravi pikkus on sagedasti seotud ravimite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kõrvaltoimetega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või ei ole oodatud tulemust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saavutatud.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Artiklis on esitatud algoritm ravi alustamise ja ravi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jätkamise strateegiate osas.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1)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ChEIs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on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olulised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haiguse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hilisemas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staadiumis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2)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suurim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ravi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kasu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saadakse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ALZ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hilisemas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staadiumis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(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ChEIs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defitsiit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on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siis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suurim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).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Kõrge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doosiga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AChE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Kõrge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doos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on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t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õhusam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varases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staadiumis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1)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Soovitage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kõrgeimat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doosi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mis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on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tõhusam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2)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Säilitage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funktsioon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kõrgeimal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tasemel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nii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kaua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kui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võimalik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3)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Transdermaalne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ravim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võimaldab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saavutada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kõrget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doosi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ilma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ohverdamata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taluvust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4)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veenge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sugulasi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ja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patsiente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, et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kõik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tehakse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selle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nimel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, et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säilitada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parim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elukvaliteet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nii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kaua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kui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võimalik</w:t>
            </w:r>
            <w:proofErr w:type="spellEnd"/>
          </w:p>
          <w:p w:rsidRPr="00366BFF" w:rsidR="00366BFF" w:rsidP="039A81E6" w:rsidRDefault="00366BFF" w14:paraId="084892EC" wp14:textId="33B159D5">
            <w:pPr>
              <w:pStyle w:val="NormalWeb"/>
              <w:spacing w:before="0" w:beforeAutospacing="off" w:after="0" w:afterAutospacing="off"/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Süstem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uuringu</w:t>
            </w:r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39A81E6" w:rsidR="039A81E6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Deardorff</w:t>
            </w:r>
            <w:proofErr w:type="spellEnd"/>
            <w:r w:rsidRPr="039A81E6" w:rsidR="039A81E6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WJ</w:t>
            </w:r>
            <w:r w:rsidRPr="039A81E6" w:rsidR="039A81E6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jt (2015</w:t>
            </w:r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)</w:t>
            </w:r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“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The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Use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of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Cholinesterase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Inhibitors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Across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All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Stages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of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Alzheimer’s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Disease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.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Drugs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Aging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“ eesmärk oli võrrelda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ChEIs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ja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memantiini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kliinilist efektiivsust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Alzheimeri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erinevates staadiumites</w:t>
            </w:r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.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ChEIs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on näidanud väikest, kuid statistiliselt olulist </w:t>
            </w:r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paranemist ALZ tõvega haigetel (kerge, mõõduka,</w:t>
            </w:r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raske staadiumis)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kognitsioonis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, üldseisundis,</w:t>
            </w:r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igapäeva eluga toimetulekus ja käitumises.</w:t>
            </w:r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39A81E6" w:rsidR="039A81E6">
              <w:rPr>
                <w:color w:val="000000" w:themeColor="text1" w:themeTint="FF" w:themeShade="FF"/>
                <w:sz w:val="27"/>
                <w:szCs w:val="27"/>
              </w:rPr>
              <w:t xml:space="preserve">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ChEIs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on küllatki hästi talutavad. Sagedasemad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kõrvaltoimed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on iiveldus (19%), oksendamine (13%), kõhulahtisus10%), peapööritus (10%), kaalulangus (9%).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Pikajaline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ravi põhjustas mõningaid olulisi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kõrvaltoimeid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(SAE) - hospitaliseerimist sünkoobi tõttu võrreldes patsientidega, keda ei ravitud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ChEIs-ga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*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ChEIs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ja elu lõpu periood (terminaalne staadium) - hooldus hospiitsis - voodihaige, väljendunud kognitiivse ja funktsionaalse häirega. Selles perioodis on kasu limiteeritud, ravimid kulukad ja kaasuvad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kõrvaltoimed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ja ravi jätkamine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ChEIs-ga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vajab sugulastega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läbirääkimist.K</w:t>
            </w:r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u</w:t>
            </w:r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i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kognitsioon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halveneb ning käitumishäired tekivad, võib ravi uuesti alustada.</w:t>
            </w:r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Kõrvaltoimeid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menatiini</w:t>
            </w:r>
            <w:proofErr w:type="spellEnd"/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 xml:space="preserve"> kasutam</w:t>
            </w:r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ise</w:t>
            </w:r>
            <w:r w:rsidRPr="039A81E6" w:rsidR="039A81E6">
              <w:rPr>
                <w:color w:val="000000" w:themeColor="text1" w:themeTint="FF" w:themeShade="FF"/>
                <w:sz w:val="22"/>
                <w:szCs w:val="22"/>
              </w:rPr>
              <w:t>l vähem</w:t>
            </w:r>
          </w:p>
          <w:p w:rsidRPr="007A477D" w:rsidR="007A477D" w:rsidP="00AC6EB1" w:rsidRDefault="007A477D" w14:paraId="0613BDA6" wp14:textId="77777777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color w:val="000000"/>
                <w:lang w:val="et-EE" w:eastAsia="et-EE"/>
              </w:rPr>
            </w:pPr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lang w:val="et-EE" w:eastAsia="et-EE"/>
              </w:rPr>
              <w:t>Ravijuhendid: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NICE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(2011) „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Donepezil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galantamin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rivastigmine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and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memantine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for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the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treatment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of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Alzheimer's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disease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Technology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appraisal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guidance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“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soovitused: 1.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ChEIs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(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donepesiil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,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galantamiin,rivastigmiin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) on soovitatavad kerge ja mõõduka ALZ raviks, kui on täietud alljärgnevad tingimused: Ravi alustavad dementsusele spetsialiseerunud 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spetsialistid 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1.2 Hooldajaga intervjuu ravi alguses on oluline.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Ravi alustada madalaima doosiga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.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Ravi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memantiiniga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on soovitav: 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M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õõduka ALZ puhul, kui nad ei talu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ChEIs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või need on vastunäidu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>statud.</w:t>
            </w:r>
            <w:r w:rsidRPr="039A81E6" w:rsidR="039A81E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t-EE" w:eastAsia="et-EE"/>
              </w:rPr>
              <w:t xml:space="preserve"> Ja raske ALZ puhul</w:t>
            </w:r>
          </w:p>
          <w:p w:rsidRPr="00AC6EB1" w:rsidR="00102C51" w:rsidP="00102C51" w:rsidRDefault="00102C51" w14:paraId="26F617F2" wp14:textId="77777777">
            <w:pPr>
              <w:jc w:val="both"/>
              <w:rPr>
                <w:rFonts w:ascii="Times New Roman" w:hAnsi="Times New Roman" w:eastAsia="Verdana"/>
                <w:b/>
                <w:sz w:val="18"/>
                <w:szCs w:val="18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>Töörühm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 xml:space="preserve"> on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>formuleeritud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 xml:space="preserve"> GRADE </w:t>
            </w:r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>9</w:t>
            </w:r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>tabelis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>soovitused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 xml:space="preserve">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>Soovitused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>jäävad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>veel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>kinnitamata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 xml:space="preserve">. </w:t>
            </w:r>
          </w:p>
          <w:p w:rsidRPr="00102C51" w:rsidR="00102C51" w:rsidP="039A81E6" w:rsidRDefault="00102C51" w14:paraId="6D37C914" wp14:textId="77777777">
            <w:pPr>
              <w:numPr>
                <w:ilvl w:val="0"/>
                <w:numId w:val="19"/>
              </w:numPr>
              <w:spacing w:beforeAutospacing="on" w:after="0" w:afterAutospacing="on" w:line="240" w:lineRule="auto"/>
              <w:textAlignment w:val="baseline"/>
              <w:rPr>
                <w:rFonts w:ascii="Segoe UI,Times New Roman" w:hAnsi="Segoe UI,Times New Roman" w:eastAsia="Segoe UI,Times New Roman" w:cs="Segoe UI,Times New Roman"/>
                <w:b w:val="1"/>
                <w:bCs w:val="1"/>
                <w:color w:val="548DD4" w:themeColor="text2" w:themeTint="99"/>
                <w:sz w:val="12"/>
                <w:szCs w:val="12"/>
                <w:lang w:val="et-EE" w:eastAsia="et-EE"/>
              </w:rPr>
            </w:pPr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Parema ravitulemuslikkuse saavutamiseks alustada </w:t>
            </w:r>
            <w:proofErr w:type="spellStart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Alzheimeri</w:t>
            </w:r>
            <w:proofErr w:type="spellEnd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 tõvega patsiendi ravi haiguse varases staadiumis </w:t>
            </w:r>
            <w:proofErr w:type="spellStart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koliinesteraasi</w:t>
            </w:r>
            <w:proofErr w:type="spellEnd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 xml:space="preserve"> inhibiitoritega </w:t>
            </w:r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 xml:space="preserve"> (</w:t>
            </w:r>
            <w:proofErr w:type="spellStart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donepesiil</w:t>
            </w:r>
            <w:proofErr w:type="spellEnd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, </w:t>
            </w:r>
            <w:proofErr w:type="spellStart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galantamiin</w:t>
            </w:r>
            <w:proofErr w:type="spellEnd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, </w:t>
            </w:r>
            <w:proofErr w:type="spellStart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rivastigmiin</w:t>
            </w:r>
            <w:proofErr w:type="spellEnd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), tõstes raviannust maksimaalset talutava annuseni. </w:t>
            </w:r>
          </w:p>
          <w:p w:rsidRPr="00102C51" w:rsidR="00102C51" w:rsidP="039A81E6" w:rsidRDefault="00102C51" w14:paraId="3CE48112" wp14:textId="77777777">
            <w:pPr>
              <w:numPr>
                <w:ilvl w:val="0"/>
                <w:numId w:val="19"/>
              </w:numPr>
              <w:spacing w:beforeAutospacing="on" w:after="0" w:afterAutospacing="on" w:line="240" w:lineRule="auto"/>
              <w:textAlignment w:val="baseline"/>
              <w:rPr>
                <w:rFonts w:ascii="Segoe UI,Times New Roman" w:hAnsi="Segoe UI,Times New Roman" w:eastAsia="Segoe UI,Times New Roman" w:cs="Segoe UI,Times New Roman"/>
                <w:b w:val="1"/>
                <w:bCs w:val="1"/>
                <w:color w:val="548DD4" w:themeColor="text2" w:themeTint="99"/>
                <w:sz w:val="12"/>
                <w:szCs w:val="12"/>
                <w:lang w:val="et-EE" w:eastAsia="et-EE"/>
              </w:rPr>
            </w:pPr>
            <w:proofErr w:type="spellStart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Koliinesteraasi</w:t>
            </w:r>
            <w:proofErr w:type="spellEnd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 inhibiitorite </w:t>
            </w:r>
            <w:proofErr w:type="spellStart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kõrvaltoimete</w:t>
            </w:r>
            <w:proofErr w:type="spellEnd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 esinemisel vahetada ravi </w:t>
            </w:r>
            <w:proofErr w:type="spellStart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memantiini</w:t>
            </w:r>
            <w:proofErr w:type="spellEnd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 ravi vastu olenemata haiguse staadiumist.  </w:t>
            </w:r>
          </w:p>
          <w:p w:rsidRPr="00102C51" w:rsidR="00102C51" w:rsidP="039A81E6" w:rsidRDefault="00102C51" w14:paraId="005818D4" wp14:textId="77777777">
            <w:pPr>
              <w:numPr>
                <w:ilvl w:val="0"/>
                <w:numId w:val="19"/>
              </w:numPr>
              <w:spacing w:beforeAutospacing="on" w:after="0" w:afterAutospacing="on" w:line="240" w:lineRule="auto"/>
              <w:textAlignment w:val="baseline"/>
              <w:rPr>
                <w:rFonts w:ascii="Segoe UI,Times New Roman" w:hAnsi="Segoe UI,Times New Roman" w:eastAsia="Segoe UI,Times New Roman" w:cs="Segoe UI,Times New Roman"/>
                <w:b w:val="1"/>
                <w:bCs w:val="1"/>
                <w:color w:val="548DD4" w:themeColor="text2" w:themeTint="99"/>
                <w:sz w:val="12"/>
                <w:szCs w:val="12"/>
                <w:lang w:val="et-EE" w:eastAsia="et-EE"/>
              </w:rPr>
            </w:pPr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Mõõduka ja raske </w:t>
            </w:r>
            <w:proofErr w:type="spellStart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Alzheimeri</w:t>
            </w:r>
            <w:proofErr w:type="spellEnd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 diagnoosi korral on soovitav kombinatsioonravi (</w:t>
            </w:r>
            <w:proofErr w:type="spellStart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atsetüülkoliinesteraasi</w:t>
            </w:r>
            <w:proofErr w:type="spellEnd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 inhibiitor koos </w:t>
            </w:r>
            <w:proofErr w:type="spellStart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memantiiniga</w:t>
            </w:r>
            <w:proofErr w:type="spellEnd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) </w:t>
            </w:r>
          </w:p>
          <w:p w:rsidRPr="00102C51" w:rsidR="00102C51" w:rsidP="039A81E6" w:rsidRDefault="00102C51" w14:paraId="5E3498F8" wp14:textId="77777777">
            <w:pPr>
              <w:numPr>
                <w:ilvl w:val="0"/>
                <w:numId w:val="19"/>
              </w:numPr>
              <w:spacing w:beforeAutospacing="on" w:after="0" w:afterAutospacing="on" w:line="240" w:lineRule="auto"/>
              <w:textAlignment w:val="baseline"/>
              <w:rPr>
                <w:rFonts w:ascii="Segoe UI,Times New Roman" w:hAnsi="Segoe UI,Times New Roman" w:eastAsia="Segoe UI,Times New Roman" w:cs="Segoe UI,Times New Roman"/>
                <w:b w:val="1"/>
                <w:bCs w:val="1"/>
                <w:color w:val="548DD4" w:themeColor="text2" w:themeTint="99"/>
                <w:sz w:val="12"/>
                <w:szCs w:val="12"/>
                <w:lang w:val="et-EE" w:eastAsia="et-EE"/>
              </w:rPr>
            </w:pPr>
            <w:proofErr w:type="spellStart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Atsetüülkoliinesteraasi</w:t>
            </w:r>
            <w:proofErr w:type="spellEnd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 inhibiitorite tugevate </w:t>
            </w:r>
            <w:proofErr w:type="spellStart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kõrvaltoimete</w:t>
            </w:r>
            <w:proofErr w:type="spellEnd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 esinemisel eelistada </w:t>
            </w:r>
            <w:proofErr w:type="spellStart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transdermaalset</w:t>
            </w:r>
            <w:proofErr w:type="spellEnd"/>
            <w:r w:rsidRPr="039A81E6" w:rsidR="039A81E6">
              <w:rPr>
                <w:rFonts w:ascii="Arial Narrow,Segoe UI,Times New Roman" w:hAnsi="Arial Narrow,Segoe UI,Times New Roman" w:eastAsia="Arial Narrow,Segoe UI,Times New Roman" w:cs="Arial Narrow,Segoe UI,Times New Roman"/>
                <w:b w:val="1"/>
                <w:bCs w:val="1"/>
                <w:color w:val="548DD4" w:themeColor="text2" w:themeTint="99" w:themeShade="FF"/>
                <w:lang w:val="et-EE" w:eastAsia="et-EE"/>
              </w:rPr>
              <w:t> depooravivormi (plaaster). </w:t>
            </w:r>
          </w:p>
          <w:p w:rsidRPr="00AC6EB1" w:rsidR="00AC6EB1" w:rsidP="00966149" w:rsidRDefault="00102C51" w14:paraId="1CE7A042" wp14:textId="77777777" wp14:noSpellErr="1">
            <w:pPr>
              <w:jc w:val="both"/>
              <w:rPr>
                <w:rFonts w:ascii="Times New Roman" w:hAnsi="Times New Roman"/>
                <w:b/>
                <w:lang w:val="fi-FI"/>
              </w:rPr>
            </w:pPr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>LISAKS</w:t>
            </w:r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 xml:space="preserve">: </w:t>
            </w:r>
          </w:p>
          <w:p w:rsidR="00AC6EB1" w:rsidP="039A81E6" w:rsidRDefault="00B21B39" w14:paraId="1EE8159E" wp14:textId="7777777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eastAsia="Times New Roman" w:cs="Times New Roman"/>
                <w:lang w:val="fi-FI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Täiendavalt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otsida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RCT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uuringud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</w:p>
          <w:p w:rsidRPr="00AC6EB1" w:rsidR="00B21B39" w:rsidP="039A81E6" w:rsidRDefault="00AC6EB1" w14:paraId="0AD33D44" wp14:textId="7777777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eastAsia="Times New Roman" w:cs="Times New Roman"/>
                <w:lang w:val="fi-FI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teha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ravimite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kasut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amise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kohta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tabel-algoritm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.</w:t>
            </w:r>
          </w:p>
        </w:tc>
      </w:tr>
      <w:tr xmlns:wp14="http://schemas.microsoft.com/office/word/2010/wordml" w:rsidRPr="00241F32" w:rsidR="00B21B39" w:rsidTr="039A81E6" w14:paraId="32107B00" wp14:textId="77777777">
        <w:tc>
          <w:tcPr>
            <w:tcW w:w="1280" w:type="dxa"/>
            <w:tcMar/>
          </w:tcPr>
          <w:p w:rsidR="00B21B39" w:rsidP="00E22C44" w:rsidRDefault="00AC6EB1" w14:paraId="0DE11AFA" wp14:textId="77777777">
            <w:pPr>
              <w:spacing w:after="0"/>
              <w:jc w:val="both"/>
              <w:rPr>
                <w:rFonts w:ascii="Times New Roman" w:hAnsi="Times New Roman"/>
                <w:b/>
                <w:lang w:val="fi-FI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>Vastuvõetud</w:t>
            </w:r>
            <w:proofErr w:type="spellEnd"/>
          </w:p>
          <w:p w:rsidRPr="00966149" w:rsidR="00AC6EB1" w:rsidP="00E22C44" w:rsidRDefault="00AC6EB1" w14:paraId="6A460BCE" wp14:textId="77777777">
            <w:pPr>
              <w:spacing w:after="0"/>
              <w:jc w:val="both"/>
              <w:rPr>
                <w:rFonts w:ascii="Times New Roman" w:hAnsi="Times New Roman"/>
                <w:b/>
                <w:lang w:val="fi-FI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>otsused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>:</w:t>
            </w:r>
          </w:p>
        </w:tc>
        <w:tc>
          <w:tcPr>
            <w:tcW w:w="8644" w:type="dxa"/>
            <w:tcMar/>
          </w:tcPr>
          <w:p w:rsidR="00E22C44" w:rsidP="00966149" w:rsidRDefault="00477AC8" w14:paraId="5AA55AD9" wp14:textId="77777777">
            <w:pPr>
              <w:spacing w:after="0" w:line="240" w:lineRule="auto"/>
              <w:jc w:val="both"/>
              <w:rPr>
                <w:rFonts w:ascii="Times New Roman" w:hAnsi="Times New Roman"/>
                <w:lang w:val="fi-FI"/>
              </w:rPr>
            </w:pP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-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Järgmi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sed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koosolek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ud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: </w:t>
            </w:r>
          </w:p>
          <w:p w:rsidRPr="00477AC8" w:rsidR="00E22C44" w:rsidP="039A81E6" w:rsidRDefault="00E22C44" w14:paraId="30A97F4C" wp14:textId="7777777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fi-FI"/>
              </w:rPr>
            </w:pPr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>5.</w:t>
            </w:r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 xml:space="preserve">aprill </w:t>
            </w:r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 xml:space="preserve">2016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>kell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 xml:space="preserve"> 12.00</w:t>
            </w:r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 xml:space="preserve"> -16:00</w:t>
            </w:r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 xml:space="preserve"> 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VIDEO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–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>Põllu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 xml:space="preserve"> 1a, 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Tartu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Haigekassa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ja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Tallinnas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LEMBITU 10,  I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korruse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saalis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</w:p>
          <w:p w:rsidRPr="00477AC8" w:rsidR="00E22C44" w:rsidP="039A81E6" w:rsidRDefault="00E22C44" w14:paraId="5B8B6C6B" wp14:textId="7777777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fi-FI"/>
              </w:rPr>
            </w:pPr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 xml:space="preserve">11.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>mai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 xml:space="preserve"> 2016  KELL 13:00 -17.00</w:t>
            </w:r>
            <w:r w:rsidRPr="039A81E6" w:rsidR="039A81E6">
              <w:rPr>
                <w:rFonts w:ascii="Times New Roman" w:hAnsi="Times New Roman" w:eastAsia="Times New Roman" w:cs="Times New Roman"/>
                <w:b w:val="1"/>
                <w:bCs w:val="1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Põhjaka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Mõisas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(?)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, EHK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korraldab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vajadusel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transpordi</w:t>
            </w:r>
            <w:proofErr w:type="spellEnd"/>
          </w:p>
          <w:p w:rsidRPr="00477AC8" w:rsidR="00E22C44" w:rsidP="039A81E6" w:rsidRDefault="00E22C44" w14:paraId="4C02DE07" wp14:textId="7777777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fi-FI"/>
              </w:rPr>
            </w:pP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Sügisel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2016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toimuvad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töökoosolekud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panna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Doodle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ajaplaneerimise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valikutesse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hääletamiseks</w:t>
            </w:r>
            <w:proofErr w:type="spellEnd"/>
          </w:p>
          <w:p w:rsidR="00E22C44" w:rsidP="00477AC8" w:rsidRDefault="00477AC8" w14:paraId="38F16B07" wp14:textId="77777777">
            <w:pPr>
              <w:spacing w:after="0" w:line="240" w:lineRule="auto"/>
              <w:jc w:val="both"/>
              <w:rPr>
                <w:rFonts w:ascii="Times New Roman" w:hAnsi="Times New Roman"/>
                <w:lang w:val="fi-FI"/>
              </w:rPr>
            </w:pP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-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Sekretariaat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laiendab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materjalide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otsinguid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ajavahemikus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2005-2015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.</w:t>
            </w:r>
          </w:p>
          <w:p w:rsidR="00477AC8" w:rsidP="00477AC8" w:rsidRDefault="00477AC8" w14:paraId="086E4577" wp14:textId="77777777">
            <w:pPr>
              <w:spacing w:after="0" w:line="240" w:lineRule="auto"/>
              <w:jc w:val="both"/>
              <w:rPr>
                <w:rFonts w:ascii="Times New Roman" w:hAnsi="Times New Roman"/>
                <w:lang w:val="fi-FI"/>
              </w:rPr>
            </w:pP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-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Sekretariaat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jagab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ära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teemad ja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püüab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teha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ka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esilagse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ajagraafiku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järgmisteks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koosolekutel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käsitlevatest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teemadest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.</w:t>
            </w:r>
          </w:p>
          <w:p w:rsidR="006116B2" w:rsidP="00477AC8" w:rsidRDefault="006116B2" w14:paraId="541C330E" wp14:textId="77777777">
            <w:pPr>
              <w:spacing w:after="0" w:line="240" w:lineRule="auto"/>
              <w:jc w:val="both"/>
              <w:rPr>
                <w:rFonts w:ascii="Times New Roman" w:hAnsi="Times New Roman"/>
                <w:lang w:val="fi-FI"/>
              </w:rPr>
            </w:pP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-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Sekretariaadil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äiendavalt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otsida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veel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uuringuid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kl.k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üs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nr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7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psü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hhosotsiaalse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sekkumise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kohta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mitteintensiivsel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meetodil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, 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laiendada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otsinguid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alates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2000.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aastast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.</w:t>
            </w:r>
          </w:p>
          <w:p w:rsidRPr="00AC6EB1" w:rsidR="00B21B39" w:rsidP="00E22C44" w:rsidRDefault="00AC6EB1" w14:paraId="554C9207" wp14:textId="77777777">
            <w:pPr>
              <w:spacing w:after="0" w:line="240" w:lineRule="auto"/>
              <w:jc w:val="both"/>
              <w:rPr>
                <w:rFonts w:ascii="Times New Roman" w:hAnsi="Times New Roman"/>
                <w:lang w:val="fi-FI"/>
              </w:rPr>
            </w:pP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-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Sekretariaadil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</w:t>
            </w:r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äiendavalt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otsida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RCT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uuringud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ja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lisaks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teha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ravimite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kasutamise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kohta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tabel-algoritm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järgmiseks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 xml:space="preserve"> </w:t>
            </w:r>
            <w:proofErr w:type="spellStart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koosolekuks</w:t>
            </w:r>
            <w:proofErr w:type="spellEnd"/>
            <w:r w:rsidRPr="039A81E6" w:rsidR="039A81E6">
              <w:rPr>
                <w:rFonts w:ascii="Times New Roman" w:hAnsi="Times New Roman" w:eastAsia="Times New Roman" w:cs="Times New Roman"/>
                <w:lang w:val="fi-FI"/>
              </w:rPr>
              <w:t>.</w:t>
            </w:r>
            <w:bookmarkStart w:name="_GoBack" w:id="0"/>
            <w:bookmarkEnd w:id="0"/>
          </w:p>
        </w:tc>
      </w:tr>
    </w:tbl>
    <w:p xmlns:wp14="http://schemas.microsoft.com/office/word/2010/wordml" w:rsidRPr="00241F32" w:rsidR="00B21B39" w:rsidP="00966149" w:rsidRDefault="00B21B39" w14:paraId="24CAE26B" wp14:textId="77777777">
      <w:pPr>
        <w:jc w:val="both"/>
        <w:rPr>
          <w:rFonts w:ascii="Times New Roman" w:hAnsi="Times New Roman"/>
          <w:lang w:val="et-EE"/>
        </w:rPr>
      </w:pPr>
    </w:p>
    <w:sectPr w:rsidRPr="00241F32" w:rsidR="00B21B39" w:rsidSect="003768B0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2635"/>
    <w:multiLevelType w:val="multilevel"/>
    <w:tmpl w:val="0F825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93822"/>
    <w:multiLevelType w:val="hybridMultilevel"/>
    <w:tmpl w:val="5776D638"/>
    <w:lvl w:ilvl="0" w:tplc="B2E0B0DA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96A89"/>
    <w:multiLevelType w:val="hybridMultilevel"/>
    <w:tmpl w:val="8BF0F4B4"/>
    <w:lvl w:ilvl="0" w:tplc="4B5C9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D9C6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E3E3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8F02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3226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4947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BCA8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EFAF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BA26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1CD676D7"/>
    <w:multiLevelType w:val="hybridMultilevel"/>
    <w:tmpl w:val="2356EFC8"/>
    <w:lvl w:ilvl="0" w:tplc="6D0E2B6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3925A6"/>
    <w:multiLevelType w:val="hybridMultilevel"/>
    <w:tmpl w:val="6E3202D4"/>
    <w:lvl w:ilvl="0" w:tplc="5B7C40FC">
      <w:start w:val="1"/>
      <w:numFmt w:val="decimal"/>
      <w:lvlText w:val="%1."/>
      <w:lvlJc w:val="left"/>
      <w:pPr>
        <w:ind w:left="720" w:hanging="360"/>
      </w:pPr>
      <w:rPr>
        <w:rFonts w:hint="default" w:ascii="Arial Narrow" w:hAnsi="Arial Narrow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B03DC"/>
    <w:multiLevelType w:val="hybridMultilevel"/>
    <w:tmpl w:val="594637FC"/>
    <w:lvl w:ilvl="0" w:tplc="D0446070">
      <w:start w:val="1"/>
      <w:numFmt w:val="decimal"/>
      <w:lvlText w:val="%1."/>
      <w:lvlJc w:val="left"/>
      <w:pPr>
        <w:ind w:left="1125" w:hanging="405"/>
      </w:pPr>
      <w:rPr>
        <w:rFonts w:hint="default" w:cs="Times New Roman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FBA27C7"/>
    <w:multiLevelType w:val="hybridMultilevel"/>
    <w:tmpl w:val="23E45B1A"/>
    <w:lvl w:ilvl="0" w:tplc="D0446070">
      <w:start w:val="1"/>
      <w:numFmt w:val="decimal"/>
      <w:lvlText w:val="%1."/>
      <w:lvlJc w:val="left"/>
      <w:pPr>
        <w:ind w:left="405" w:hanging="405"/>
      </w:pPr>
      <w:rPr>
        <w:rFonts w:hint="default"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1E35B08"/>
    <w:multiLevelType w:val="hybridMultilevel"/>
    <w:tmpl w:val="0716523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A47F8A"/>
    <w:multiLevelType w:val="multilevel"/>
    <w:tmpl w:val="26E21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002972"/>
    <w:multiLevelType w:val="hybridMultilevel"/>
    <w:tmpl w:val="5F12BAC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0A4556"/>
    <w:multiLevelType w:val="hybridMultilevel"/>
    <w:tmpl w:val="0DB0986A"/>
    <w:lvl w:ilvl="0" w:tplc="6D0E2B6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C35587"/>
    <w:multiLevelType w:val="hybridMultilevel"/>
    <w:tmpl w:val="8C10E5A0"/>
    <w:lvl w:ilvl="0" w:tplc="CA96664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581139"/>
    <w:multiLevelType w:val="hybridMultilevel"/>
    <w:tmpl w:val="4E3CD13A"/>
    <w:lvl w:ilvl="0" w:tplc="513257F8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B7C7786"/>
    <w:multiLevelType w:val="hybridMultilevel"/>
    <w:tmpl w:val="59301F9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136AFC"/>
    <w:multiLevelType w:val="hybridMultilevel"/>
    <w:tmpl w:val="1668DA2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9131F4"/>
    <w:multiLevelType w:val="hybridMultilevel"/>
    <w:tmpl w:val="1FBA97D8"/>
    <w:lvl w:ilvl="0" w:tplc="042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DC4468A"/>
    <w:multiLevelType w:val="hybridMultilevel"/>
    <w:tmpl w:val="3C921C70"/>
    <w:lvl w:ilvl="0" w:tplc="609010D0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4" w:hanging="360"/>
      </w:pPr>
    </w:lvl>
    <w:lvl w:ilvl="2" w:tplc="0409001B" w:tentative="1">
      <w:start w:val="1"/>
      <w:numFmt w:val="lowerRoman"/>
      <w:lvlText w:val="%3."/>
      <w:lvlJc w:val="right"/>
      <w:pPr>
        <w:ind w:left="1894" w:hanging="180"/>
      </w:pPr>
    </w:lvl>
    <w:lvl w:ilvl="3" w:tplc="0409000F" w:tentative="1">
      <w:start w:val="1"/>
      <w:numFmt w:val="decimal"/>
      <w:lvlText w:val="%4."/>
      <w:lvlJc w:val="left"/>
      <w:pPr>
        <w:ind w:left="2614" w:hanging="360"/>
      </w:pPr>
    </w:lvl>
    <w:lvl w:ilvl="4" w:tplc="04090019" w:tentative="1">
      <w:start w:val="1"/>
      <w:numFmt w:val="lowerLetter"/>
      <w:lvlText w:val="%5."/>
      <w:lvlJc w:val="left"/>
      <w:pPr>
        <w:ind w:left="3334" w:hanging="360"/>
      </w:pPr>
    </w:lvl>
    <w:lvl w:ilvl="5" w:tplc="0409001B" w:tentative="1">
      <w:start w:val="1"/>
      <w:numFmt w:val="lowerRoman"/>
      <w:lvlText w:val="%6."/>
      <w:lvlJc w:val="right"/>
      <w:pPr>
        <w:ind w:left="4054" w:hanging="180"/>
      </w:pPr>
    </w:lvl>
    <w:lvl w:ilvl="6" w:tplc="0409000F" w:tentative="1">
      <w:start w:val="1"/>
      <w:numFmt w:val="decimal"/>
      <w:lvlText w:val="%7."/>
      <w:lvlJc w:val="left"/>
      <w:pPr>
        <w:ind w:left="4774" w:hanging="360"/>
      </w:pPr>
    </w:lvl>
    <w:lvl w:ilvl="7" w:tplc="04090019" w:tentative="1">
      <w:start w:val="1"/>
      <w:numFmt w:val="lowerLetter"/>
      <w:lvlText w:val="%8."/>
      <w:lvlJc w:val="left"/>
      <w:pPr>
        <w:ind w:left="5494" w:hanging="360"/>
      </w:pPr>
    </w:lvl>
    <w:lvl w:ilvl="8" w:tplc="04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7" w15:restartNumberingAfterBreak="0">
    <w:nsid w:val="734D1BCA"/>
    <w:multiLevelType w:val="multilevel"/>
    <w:tmpl w:val="AD96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5149C3"/>
    <w:multiLevelType w:val="hybridMultilevel"/>
    <w:tmpl w:val="F7F4FE2C"/>
    <w:lvl w:ilvl="0" w:tplc="A6F2154C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b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FB51688"/>
    <w:multiLevelType w:val="multilevel"/>
    <w:tmpl w:val="0AAE1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1"/>
  </w:num>
  <w:num w:numId="5">
    <w:abstractNumId w:val="12"/>
  </w:num>
  <w:num w:numId="6">
    <w:abstractNumId w:val="18"/>
  </w:num>
  <w:num w:numId="7">
    <w:abstractNumId w:val="13"/>
  </w:num>
  <w:num w:numId="8">
    <w:abstractNumId w:val="1"/>
  </w:num>
  <w:num w:numId="9">
    <w:abstractNumId w:val="7"/>
  </w:num>
  <w:num w:numId="10">
    <w:abstractNumId w:val="14"/>
  </w:num>
  <w:num w:numId="11">
    <w:abstractNumId w:val="9"/>
  </w:num>
  <w:num w:numId="12">
    <w:abstractNumId w:val="15"/>
  </w:num>
  <w:num w:numId="13">
    <w:abstractNumId w:val="3"/>
  </w:num>
  <w:num w:numId="14">
    <w:abstractNumId w:val="16"/>
  </w:num>
  <w:num w:numId="15">
    <w:abstractNumId w:val="17"/>
  </w:num>
  <w:num w:numId="16">
    <w:abstractNumId w:val="19"/>
  </w:num>
  <w:num w:numId="17">
    <w:abstractNumId w:val="8"/>
  </w:num>
  <w:num w:numId="18">
    <w:abstractNumId w:val="0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D8"/>
    <w:rsid w:val="00037F41"/>
    <w:rsid w:val="0007536B"/>
    <w:rsid w:val="000F1392"/>
    <w:rsid w:val="00102C51"/>
    <w:rsid w:val="001E56B9"/>
    <w:rsid w:val="00216A3B"/>
    <w:rsid w:val="00241F32"/>
    <w:rsid w:val="00280E3B"/>
    <w:rsid w:val="00311A48"/>
    <w:rsid w:val="00366BFF"/>
    <w:rsid w:val="003768B0"/>
    <w:rsid w:val="003C15E0"/>
    <w:rsid w:val="0040264C"/>
    <w:rsid w:val="00453B0A"/>
    <w:rsid w:val="00477AC8"/>
    <w:rsid w:val="00596594"/>
    <w:rsid w:val="005A3718"/>
    <w:rsid w:val="005D1C9E"/>
    <w:rsid w:val="00610409"/>
    <w:rsid w:val="006116B2"/>
    <w:rsid w:val="00690CA3"/>
    <w:rsid w:val="00721D13"/>
    <w:rsid w:val="007A477D"/>
    <w:rsid w:val="0081115B"/>
    <w:rsid w:val="008809D6"/>
    <w:rsid w:val="00932867"/>
    <w:rsid w:val="00966149"/>
    <w:rsid w:val="00981B73"/>
    <w:rsid w:val="009E7344"/>
    <w:rsid w:val="00A151D6"/>
    <w:rsid w:val="00AC6EB1"/>
    <w:rsid w:val="00B21B39"/>
    <w:rsid w:val="00B4202B"/>
    <w:rsid w:val="00BE7E18"/>
    <w:rsid w:val="00CA2B30"/>
    <w:rsid w:val="00CE2141"/>
    <w:rsid w:val="00E1643D"/>
    <w:rsid w:val="00E22C44"/>
    <w:rsid w:val="00E64D43"/>
    <w:rsid w:val="00E927B6"/>
    <w:rsid w:val="00FB6AD2"/>
    <w:rsid w:val="00FD74D8"/>
    <w:rsid w:val="039A81E6"/>
    <w:rsid w:val="3541DCBD"/>
    <w:rsid w:val="3709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9F2557-F4DF-4810-98CB-C65AE23C88BF}"/>
  <w14:docId w14:val="6AFA449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768B0"/>
    <w:pPr>
      <w:spacing w:after="160" w:line="259" w:lineRule="auto"/>
    </w:pPr>
    <w:rPr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D8"/>
    <w:pPr>
      <w:spacing w:after="0" w:line="240" w:lineRule="auto"/>
      <w:ind w:left="720"/>
    </w:pPr>
    <w:rPr>
      <w:lang w:val="et-EE" w:eastAsia="et-EE"/>
    </w:rPr>
  </w:style>
  <w:style w:type="character" w:styleId="Hyperlink">
    <w:name w:val="Hyperlink"/>
    <w:basedOn w:val="DefaultParagraphFont"/>
    <w:uiPriority w:val="99"/>
    <w:rsid w:val="00216A3B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3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932867"/>
    <w:rPr>
      <w:rFonts w:ascii="Segoe UI" w:hAnsi="Segoe UI" w:cs="Segoe UI"/>
      <w:sz w:val="18"/>
      <w:szCs w:val="18"/>
    </w:rPr>
  </w:style>
  <w:style w:type="character" w:styleId="apple-converted-space" w:customStyle="1">
    <w:name w:val="apple-converted-space"/>
    <w:basedOn w:val="DefaultParagraphFont"/>
    <w:rsid w:val="005A3718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7536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t-EE" w:eastAsia="et-EE"/>
    </w:rPr>
  </w:style>
  <w:style w:type="paragraph" w:styleId="paragraph" w:customStyle="1">
    <w:name w:val="paragraph"/>
    <w:basedOn w:val="Normal"/>
    <w:rsid w:val="00102C5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t-EE" w:eastAsia="et-EE"/>
    </w:rPr>
  </w:style>
  <w:style w:type="character" w:styleId="normaltextrun" w:customStyle="1">
    <w:name w:val="normaltextrun"/>
    <w:rsid w:val="00102C51"/>
  </w:style>
  <w:style w:type="character" w:styleId="spellingerror" w:customStyle="1">
    <w:name w:val="spellingerror"/>
    <w:rsid w:val="00102C51"/>
  </w:style>
  <w:style w:type="character" w:styleId="eop" w:customStyle="1">
    <w:name w:val="eop"/>
    <w:rsid w:val="00102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35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5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5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5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Reet Vinkel</dc:creator>
  <keywords/>
  <dc:description/>
  <lastModifiedBy>Guest</lastModifiedBy>
  <revision>4</revision>
  <lastPrinted>2016-01-06T08:56:00.0000000Z</lastPrinted>
  <dcterms:created xsi:type="dcterms:W3CDTF">2016-03-02T12:05:00.0000000Z</dcterms:created>
  <dcterms:modified xsi:type="dcterms:W3CDTF">2016-03-03T11:57:34.3858553Z</dcterms:modified>
</coreProperties>
</file>